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4A_495/2011 vom 15. November 2011</w:t>
      </w:r>
    </w:p>
    <w:p>
      <w:r>
        <w:t>Bundesgericht, 2011-11-15, FR</w:t>
      </w:r>
    </w:p>
    <w:p>
      <w:r>
        <w:rPr>
          <w:b/>
        </w:rPr>
        <w:t xml:space="preserve">Quelle: </w:t>
      </w:r>
      <w:r>
        <w:t>https://mcp.opencaselaw.ch/entscheid/bger_4A_495_2011</w:t>
      </w:r>
    </w:p>
    <w:p>
      <w:r>
        <w:t>FR: TF 4A_495/2011 du 15 novembre 2011</w:t>
      </w:r>
    </w:p>
    <w:p>
      <w:r>
        <w:t>IT: TF 4A_495/2011 del 15 novembre 2011</w:t>
      </w:r>
    </w:p>
    <w:p>
      <w:pPr>
        <w:pStyle w:val="Heading2"/>
      </w:pPr>
      <w:r>
        <w:t>Erwägungen</w:t>
      </w:r>
    </w:p>
    <w:p>
      <w:r>
        <w:rPr>
          <w:b/>
        </w:rPr>
        <w:t>E. 1.1</w:t>
      </w:r>
    </w:p>
    <w:p>
      <w:r>
        <w:t>Interjeté par les demandeurs qui ont entièrement succombé dans leurs conclusions en paiement et qui ont ainsi la qualité pour recourir ( art. 76 al. 1 LTF ), dirigé contre un arrêt final ( art. 90 LTF ) rendu en matière civile ( art. 72 al. 1 LTF ) par une autorité de dernière instance statuant sur recours ( art. 75 LTF ) dans une affaire pécuniaire dont la valeur litigieuse atteint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136 II 304 consid. 2.4; 135 III 127 consid. 1.5 p. 130, 397 consid. 1.5)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t>In casu, les recourants ne s'en prennent pas aux faits retenus par la cour cantonale. Il n'apparaît en outre pas que l'état de fait a été arrêté de manière arbitraire ou en violation du droit. L'analyse des moyens soulevés se fera ainsi sur la base des faits constatés par la Chambre des recours.</w:t>
      </w:r>
    </w:p>
    <w:p>
      <w:r>
        <w:rPr>
          <w:b/>
        </w:rPr>
        <w:t>E. 1.4</w:t>
      </w:r>
    </w:p>
    <w:p>
      <w:r>
        <w:t>Le Tribunal fédéral ne peut aller au-delà des conclusions des parties ( art. 107 al. 1 LTF ). Toute conclusion nouvelle est irrecevable ( art. 99 al. 2 LTF ).</w:t>
      </w:r>
    </w:p>
    <w:p>
      <w:r>
        <w:rPr>
          <w:b/>
        </w:rPr>
        <w:t>E. 2.1</w:t>
      </w:r>
    </w:p>
    <w:p>
      <w:r>
        <w:t>Il n'est pas contesté que l'intimée, par convention du 3 juillet 2000, s'est engagée à l'égard des recourants à réaliser la totalité d'une villa en prenant la place des différents entrepreneurs partiels qui étaient chargés de prestations spécifiques. Les parties ont ainsi conclu un contrat d'entreprise générale, qui se qualifie comme un contrat d'entreprise au sens de l' art. 363 CO (cf. ATF 136 III 14 consid. 2.3 p. 19).</w:t>
      </w:r>
    </w:p>
    <w:p>
      <w:r>
        <w:t>Le même jour, les parties ont conclu un second contrat d'entreprise ayant pour objet la construction d'un bassin extérieur équipé d'un dispositif provoquant des remous dans l'eau (jacuzzi).</w:t>
      </w:r>
    </w:p>
    <w:p>
      <w:r>
        <w:t>Il n'a pas été constaté que les parties contractantes à ces deux accords aient entendu déroger au régime légal de la prescription de la garantie pour les défauts de l'ouvrage. Ainsi l'art. 35.4 du contrat d'entreprise générale ne fait que reprendre la teneur de l' art. 371 al. 2 CO . S'agissant de contrats portant sur des constructions immobilières, la disposition précitée prescrit que l'action du maître en raison des défauts de telles constructions se prescrit en particulier contre l'entrepreneur par cinq ans à compter de la réception.</w:t>
      </w:r>
    </w:p>
    <w:p>
      <w:r>
        <w:rPr>
          <w:b/>
        </w:rPr>
        <w:t>E. 2.2</w:t>
      </w:r>
    </w:p>
    <w:p>
      <w:r>
        <w:t>Au sujet du point de départ du délai de prescription, la cour cantonale a jugé qu'il devait correspondre au 30 novembre 2000, soit un mois à partir de la livraison de l'ouvrage faute de vérification commune de la villa à la réception. Les recourants ne remettent pas en cause ce raisonnement, si bien qu'il n'y a pas lieu d'y revenir ( art. 42 al. 1 et 2 LTF ).</w:t>
      </w:r>
    </w:p>
    <w:p>
      <w:r>
        <w:t>Les recourants ne contestent pas davantage, à bon droit, que, dans ces conditions, la prescription quinquennale de l'action des maîtres de l'ouvrage en garantie des défauts de celui-ci est intervenue le 30 novembre 2005, à défaut d'actes interruptifs avant ce terme (cf. art. 135 et 138 CO ).</w:t>
      </w:r>
    </w:p>
    <w:p>
      <w:r>
        <w:rPr>
          <w:b/>
        </w:rPr>
        <w:t>E. 2.3</w:t>
      </w:r>
    </w:p>
    <w:p>
      <w:r>
        <w:t>Les recourants font cependant valoir que l'intimée a renoncé, par actes concluants, à invoquer la prescription au sens de l' art. 141 CO . Pour le jacuzzi, ils se réfèrent aux écritures que leur a envoyées l'intimée les 1er mai et 2 juin 2006. A propos des finitions internes de la villa, ils renvoient à la télécopie expédiée par l'intimée aux maîtres de l'ouvrage le 31 mars 2006. Ils allèguent qu'ils ne pouvaient pas déduire de ces écrits que l'intimée exciperait plus tard de la prescription.</w:t>
      </w:r>
    </w:p>
    <w:p>
      <w:r>
        <w:rPr>
          <w:b/>
        </w:rPr>
        <w:t>E. 2.3.1</w:t>
      </w:r>
    </w:p>
    <w:p>
      <w:r>
        <w:t>A teneur de l' art. 141 al. 1 CO , est nulle toute renonciation anticipée à la prescription. Dans l'arrêt de principe publié in ATF 132 III 226 consid. 3.3.7, le Tribunal fédéral a jugé qu'après la passation du contrat par les parties contractantes, le débiteur peut renoncer à se prévaloir de la prescription tant que court ledit délai. Lorsque le délai de prescription est écoulé, il est également possible de renoncer à soulever l'exception de prescription.</w:t>
      </w:r>
    </w:p>
    <w:p>
      <w:r>
        <w:t>Une déclaration unilatérale de renonciation à se prévaloir de la prescription doit être interprétée selon le principe de la confiance et a donc le sens que son destinataire pouvait raisonnablement lui attribuer dans les circonstances concrètes où elle a été faite (arrêt 4A_210/2010 du 1er octobre 2010 consid. 7.2.1, non publié in ATF 136 III 502 ; arrêt 5C.42/2005 du 21 avril 2005 consid. 2.3 et les arrêts cités).</w:t>
      </w:r>
    </w:p>
    <w:p>
      <w:r>
        <w:t>La renonciation à la prescription peut résulter d'actes concluants. Mais il faut des indices clairs de la volonté univoque du débiteur, comme par exemple la constitution d'une sûreté (cf. ROBERT K. DÄPPEN, Basler Kommentar, Obligationenrecht I, 5e éd., 2011, n° 5 ad art. 141 CO ; PASCAL PICHONNAZ, Commentaire romand, Code des obligations I, 2003, n. 7 ad art. 141 CO ).</w:t>
      </w:r>
    </w:p>
    <w:p>
      <w:r>
        <w:rPr>
          <w:b/>
        </w:rPr>
        <w:t>E. 2.3.2</w:t>
      </w:r>
    </w:p>
    <w:p>
      <w:r>
        <w:t>Dans la lettre du 1er mai 2006 qu'elle a adressée aux recourants, l'intimée leur a indiqué qu'elle allait intervenir auprès de l'entreprise à laquelle elle avait sous-traité l'installation du jacuzzi pour que les réparations demandées par les premiers soient réalisées. Quant à l'écriture envoyée par l'intimée aux maîtres de l'ouvrage le 2 juin 2006, elle signale qu'un mandat a été conféré à un professionnel du domaine des jacuzzis pour qu'il effectue divers réglages et remette en marche le bassin en question.</w:t>
      </w:r>
    </w:p>
    <w:p>
      <w:r>
        <w:t>Il est exclu que les recourants aient pu interpréter ces deux plis comme des déclarations de renonciation à la prescription émanant de l'entrepreneur avec qui ils étaient liés par deux contrats. Ces deux écritures ne font même pas allusion à l'institution de la prescription, terme qui n'y est d'ailleurs pas mentionné, pas plus que le verbe « renoncer » ou l'un de ses synonymes.</w:t>
      </w:r>
    </w:p>
    <w:p>
      <w:r>
        <w:t>La télécopie du 31 mars 2006, expédiée par l'intimée aux recourants, montre seulement que l'entrepreneur général entendait faire le départ entre les travaux qui pourraient relever de la garantie pour les défauts et ceux qui devraient être qualifiés de retouches On ne peut raisonnablement pas y voir l'expression de la volonté de l'entrepreneur général de renoncer à la prescription quinquennale de l' art. 371 al. 2 CO .</w:t>
      </w:r>
    </w:p>
    <w:p>
      <w:r>
        <w:t>Le moyen est sans fondement.</w:t>
      </w:r>
    </w:p>
    <w:p>
      <w:r>
        <w:rPr>
          <w:b/>
        </w:rPr>
        <w:t>E. 2.4</w:t>
      </w:r>
    </w:p>
    <w:p>
      <w:r>
        <w:t>Les recourants soutiennent que l'intimée a commis un abus de droit en se prévalant de la prescription. Ils se rapportent essentiellement à la télécopie que l'intimée leur a fait parvenir le 25 septembre 2005, qui constituerait un aveu tacite de responsabilité. Ils allèguent à cet égard que le fait que l'intimée ait invité une sous-traitante à corriger à ses frais les défauts de finition constatés ne peut être interprété comme un refus de voir sa responsabilité contractuelle d'entrepreneur général engagée à l'égard des maîtres de l'ouvrage.</w:t>
      </w:r>
    </w:p>
    <w:p>
      <w:r>
        <w:rPr>
          <w:b/>
        </w:rPr>
        <w:t>E. 2.4.1</w:t>
      </w:r>
    </w:p>
    <w:p>
      <w:r>
        <w:t>A teneur de l' art. 2 al. 2 CC ,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de l'espèce, en s'inspirant des diverses catégories mises en évidence par la jurisprudence et la doctrine. Les cas typiques en sont l'absence d'intérêt à l'exercice d'un droit, l'utilisation d'une institution juridique contrairement à son but, la disproportion manifeste des intérêts en présence, l'exercice d'un droit sans ménagement ou l'attitude contradictoire ( ATF 135 III 162 consid. 3.3.1 p. 169 et les arrêts cités). Le recours à la règle prohibant l'abus de droit doit se concilier avec la finalité voulue par le législateur de la norme matérielle applicable au cas concret ( ATF 107 Ia 206 consid. 3b p. 211), en l'espèce la prescription de cinq ans de l' art. 371 al. 2 CO .</w:t>
      </w:r>
    </w:p>
    <w:p>
      <w:r>
        <w:t>Selon la jurisprudence, le débiteur commet un abus de droit s'il se prévaut de la prescription, non seulement lorsqu'il amène astucieusement le créancier à ne pas agir en temps utile, mais encore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 ATF 131 III 430 consid. 2 p. 437; 128 V 236 consid. 4a p. 241). Pour admettre un abus de droit, il faut toutefois que le comportement du débiteur soit en relation de causalité avec le retard à agir du créancier ( ATF 128 V 236 consid. 4a p. 241).</w:t>
      </w:r>
    </w:p>
    <w:p>
      <w:r>
        <w:rPr>
          <w:b/>
        </w:rPr>
        <w:t>E. 2.4.2</w:t>
      </w:r>
    </w:p>
    <w:p>
      <w:r>
        <w:t>Par la télécopie du 25 septembre 2005, intitulée « Garantie pour votre villa », l'intimée a tout d'abord fait savoir aux recourants qu'elle n'ignorait pas que l'échéance du délai de prescription de l' art. 371 al. 2 CO approchait; elle a pour le reste requis leur concours afin d'obtenir de leur part une liste de travaux qui, selon eux, seraient couverts par la garantie pour les défauts, liste qu'elle s'engageait à vérifier et à transmettre aux entreprises sous-traitantes concernées si la garantie devait être mise en jeu.</w:t>
      </w:r>
    </w:p>
    <w:p>
      <w:r>
        <w:t>Examiné objectivement, il n'est pas possible de considérer ce courrier comme une invitation faite aux recourants à ne pas entreprendre de démarches pour interrompre le délai de prescription. Au contraire, l'intimée a rendu les recourants attentifs à la prochaine expiration du délai de prescription, ce qui n'était à l'évidence pas propre à les conforter dans une absence de réaction.</w:t>
      </w:r>
    </w:p>
    <w:p>
      <w:r>
        <w:t>Partant, c'est sans violer le droit fédéral que la cour cantonale a conclu qu'en l'occurrence l'intimée n'avait pas abusé de son droit en excipant de la prescription.</w:t>
      </w:r>
    </w:p>
    <w:p>
      <w:r>
        <w:t>Le grief doit être rejeté.</w:t>
      </w:r>
    </w:p>
    <w:p>
      <w:r>
        <w:rPr>
          <w:b/>
        </w:rPr>
        <w:t>E. 3</w:t>
      </w:r>
    </w:p>
    <w:p>
      <w:r>
        <w:t>En définitive, le recours doit être rejeté. Les recourants, qui succombent, paieront, avec solidarité entre eux, les frais judiciaires et verseront, toujours solidairement, des dépens à l'intimée (art. 66 al. 1 et 5 et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