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494/2019 vom 25. Juni 2020</w:t>
      </w:r>
    </w:p>
    <w:p>
      <w:r>
        <w:t>Bundesgericht, 2020-06-25, FR</w:t>
      </w:r>
    </w:p>
    <w:p>
      <w:r>
        <w:rPr>
          <w:b/>
        </w:rPr>
        <w:t xml:space="preserve">Quelle: </w:t>
      </w:r>
      <w:r>
        <w:t>https://mcp.opencaselaw.ch/entscheid/bger_4A_494_2019</w:t>
      </w:r>
    </w:p>
    <w:p>
      <w:r>
        <w:t>FR: TF 4A 494/2019 du 25 juin 2020</w:t>
      </w:r>
    </w:p>
    <w:p>
      <w:r>
        <w:t>IT: TF 4A 494/2019 del 25 giugno 2020</w:t>
      </w:r>
    </w:p>
    <w:p>
      <w:pPr>
        <w:pStyle w:val="Heading2"/>
      </w:pPr>
      <w:r>
        <w:t>Regeste</w:t>
      </w:r>
    </w:p>
    <w:p>
      <w:r>
        <w:t>responsabilité du mandataire; contrat de réasssurance; règlement de prévoyance professionnelle; congruence | Droit des contrats</w:t>
      </w:r>
    </w:p>
    <w:p>
      <w:pPr>
        <w:pStyle w:val="Heading2"/>
      </w:pPr>
      <w:r>
        <w:t>Erwägungen</w:t>
      </w:r>
    </w:p>
    <w:p>
      <w:r>
        <w:rPr>
          <w:b/>
        </w:rPr>
        <w:t>E. 1</w:t>
      </w:r>
    </w:p>
    <w:p>
      <w:r>
        <w:t>Le recours est dirigé contre un arrêt final ( art. 90 LTF ) rendu en matière civile ( art. 72 al. 1 LTF ) par le tribunal supérieur institué comme autorité cantonale de dernière instance, lequel a statué sur recours ( art. 75 LTF ). La cause atteint la valeur litigieuse de 30'000 fr. ouvrant le recours en matière civile dans les affaires pécuniaires ne relevant ni du droit du travail, ni du droit du bail à loyer ( art. 74 al. 1 let. b LTF ). La recourante, dont les conclusions libératoires ont été rejetées, a la qualité pour recourir ( art. 76 al. 1 LTF ). Déposé dans le délai (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3.1</w:t>
      </w:r>
    </w:p>
    <w:p>
      <w:r>
        <w:t>La présente affaire implique de poser au préalable les principes en matière de couverture des risques décès et invalidité dans la prévoyance professionnelle, tels qu'ils ont été décrits par les experts judiciaires et retenus dans l'arrêt attaqué de manière incontestée par les parties. Au cas où elle décide de ne pas assumer elle-même la totalité des risques, l'institution de prévoyance, par son organe suprême, peut opter pour une réassurance complète ou partielle (cf. actuellement art. 51a al. 2 let . l LPP). La première stratégie implique une congruence totale entre les risques couverts par le règlement de prévoyance et ceux couverts par le contrat de réassurance. Dans la seconde stratégie, la congruence n'est que partielle, en fonction des choix de la caisse de pension; même si la loi ne l'impose pas, la pratique uniforme des fondations de prévoyance consiste alors à constituer des réserves financières appropriées pour les risques non couverts par le contrat de réassurance.</w:t>
      </w:r>
    </w:p>
    <w:p>
      <w:r>
        <w:rPr>
          <w:b/>
        </w:rPr>
        <w:t>E. 3.2</w:t>
      </w:r>
    </w:p>
    <w:p>
      <w:r>
        <w:t>A ce stade, il est également établi que la recourante était liée à D.________ par un contrat portant sur la négociation des contrats de réassurance. La recourante ne conteste pas qu'elle devait faire preuve, dans cette tâche, de la diligence incombant à un mandataire, ce qui supposait, le cas échéant, de respecter la stratégie de l'organe suprême de l'institution de prévoyance (le conseil de fondation) en matière de réassurance.</w:t>
      </w:r>
    </w:p>
    <w:p>
      <w:r>
        <w:rPr>
          <w:b/>
        </w:rPr>
        <w:t>E. 4</w:t>
      </w:r>
    </w:p>
    <w:p>
      <w:r>
        <w:t>Le litige porte tout d'abord sur la stratégie adoptée par la fondation et la connaissance de cette volonté par la recourante.</w:t>
      </w:r>
    </w:p>
    <w:p>
      <w:r>
        <w:rPr>
          <w:b/>
        </w:rPr>
        <w:t>E. 4.1</w:t>
      </w:r>
    </w:p>
    <w:p>
      <w:r>
        <w:t>En matière d'interprétation des manifestations de volonté (cf. art. 18 CO ), le juge doit, dans un premier temps, rechercher la réelle et commune intention des parties (interprétation subjective), le cas échéant empiriquement, sur la base d'indices. S'il parvient à la conclusion que les parties se sont comprises ou, au contraire, qu'elles ne se sont pas comprises, il s'agit de constatations de fait qui lient le Tribunal fédéral ( art. 105 al. 1 LTF ), à moins qu'elles ne soient arbitraires ( art. 9 Cst. ). Ce n'est que s'il ne parvient pas à déterminer la volonté réelle et commune des parties ou s'il constate qu'une partie n'a pas compris la volonté exprimée par l'autre que le juge recourra à l'interprétation normative (ou objective). Fondée sur le principe de la confiance, cette interprétation consiste à déterminer le sens qu'une partie pouvait et devait raisonnablement prêter à la manifestation de volonté de l'autre partie. Il s'agit là d'une question de droit que le Tribunal fédéral revoit librement (cf. ATF 144 III 93 consid. 5.2.2 et 5.2.3 p. 98 s. et les arrêts cités).</w:t>
      </w:r>
    </w:p>
    <w:p>
      <w:r>
        <w:rPr>
          <w:b/>
        </w:rPr>
        <w:t>E. 4.2</w:t>
      </w:r>
    </w:p>
    <w:p>
      <w:r>
        <w:t>Selon l'arrêt attaqué, la stratégie de D.________ était de couvrir entièrement ses risques par un contrat de réassurance et la recourante était informée de cette volonté. Appréciant les preuves à disposition (déclarations des parties, témoignages, courrier du 22 avril 2005 de l'administrateur de la recourante, expertise judiciaire), la cour cantonale a établi la volonté de la fondation et a retenu que cette volonté avait été comprise par la recourante. Il s'agit là de constatations de fait résultant d'une interprétation subjective. Dans un raisonnement subsidiaire fondé sur une interprétation objective, la Cour de justice a déduit de l'attitude de la recourante - l'absence d'ordre tendant à la limitation de la couverture de réassurance sur un point ou un autre - que la recourante pouvait et devait comprendre que la réassurance devait être complète. Vu la priorité de l'interprétation subjective, il convient d'examiner en premier lieu les griefs soulevés dans le recours en rapport avec l' art. 9 Cst.</w:t>
      </w:r>
    </w:p>
    <w:p>
      <w:r>
        <w:rPr>
          <w:b/>
        </w:rPr>
        <w:t>E. 5</w:t>
      </w:r>
    </w:p>
    <w:p>
      <w:r>
        <w:t>La recourante reproche aux juges genevois d'avoir retenu de manière arbitraire qu'elle était informée de la volonté de D.________ de conclure un contrat de réassurance couvrant intégralement les prestations prévues par son règlement de prévoyance. Premièrement, par une appréciation arbitraire d'un moyen de preuve, la cour cantonale aurait déduit de manière insoutenable du courrier du 22 avril 2005 de l'administrateur de la recourante, d'une part, que celle-ci connaissait la volonté de congruence complète de D.________ et, d'autre part, que cette concordance était garantie par le contrat de réassurance négocié. La recourante relève à cet égard que le courrier en question concerne le contrat de réassurance conclu en avril 2005, alors que la fondation s'est vu refuser la prise en charge des prestations allouées à G.________ sur la base du contrat de réassurance du 30 juillet 2008, entré en vigueur le 1er janvier 2009. Par ailleurs, l'annonce du comblement de quelques lacunes de couverture, figurant dans le courrier du 22 avril 2005, ne signifierait manifestement pas que la réassurance devait être complète. Enfin, la concordance de la réassurance mentionnée dans ledit courrier n'est garantie expressément qu'avec la nouvelle version du règlement de D.________ "suite à la 1ère révision de la LPP", et non pas de manière générale. La recourante fait également grief à la Cour de justice d'avoir établi la volonté de la fondation d'assurer une concordance totale en se fondant arbitrairement sur le témoignage de J.________, ancien membre du comité de gestion de D.________ - dont les propos n'étaient étayés par aucune pièce de l'époque - ainsi que sur les déclarations de K.________ en qualité de partie - qui a rejoint l'intimée bien après la conclusion des contrats de réassurance -, tout en écartant les déclarations de l'administrateur de la recourante, qui a fait état du flou de D.________ en matière de réassurance et de l'absence d'instructions au sujet du degré de réassurance.</w:t>
      </w:r>
    </w:p>
    <w:p>
      <w:r>
        <w:rPr>
          <w:b/>
        </w:rPr>
        <w:t>E. 5.1</w:t>
      </w:r>
    </w:p>
    <w:p>
      <w:r>
        <w:t>En matière de constatations de fait et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140 III 264 consid. 2.3 p. 266; 137 III 226 consid. 4.2 p. 234; 136 III 552 consid. 4.2 p. 560; 134 V 53 consid. 4.3; 133 II 249 consid. 1.4.3).</w:t>
      </w:r>
    </w:p>
    <w:p>
      <w:r>
        <w:rPr>
          <w:b/>
        </w:rPr>
        <w:t>E. 5.2</w:t>
      </w:r>
    </w:p>
    <w:p>
      <w:r>
        <w:t>En ce qui concerne la stratégie du conseil de fondation en matière de réassurance, la cour cantonale était confrontée à deux versions: selon l'administrateur de l'intimée et le membre du comité de gestion de D.________, la fondation a toujours voulu couvrir intégralement, par un contrat de réassurance, les risques de devoir payer des prestations à ses affiliés, alors que, selon l'administrateur de la recourante, la stratégie de la fondation était floue. Les juges genevois ont tenu la première version pour établie, car elle était confirmée par plusieurs éléments, dont le courrier du 22 avril 2005 de l'administrateur de la recourante elle-même. Contrairement à ce que la recourante soutient, la cour cantonale n'a pas manifestement méconnu le sens et la portée de ce dernier moyen de preuve. L'administrateur précité y attire expressément l'attention de la fondation sur l'élimination, dans le contrat négocié avec un nouveau réassureur, de "quelques lacunes de couverture qui subsistaient dans le contrat précédent" et enchaîne en précisant qu'elle a "également veillé à la concordance de la réassurance avec la nouvelle version du règlement de D.________ suite à la 1ère révision de la LPP". De la conjonction de ces deux informations, effectuée par la recourante elle-même, il n'était pas insoutenable de déduire qu'une congruence complète était désormais garantie entre contrat de réassurance et règlement de prévoyance dans sa teneur d'alors. Il n'apparaît pas non plus arbitraire de conclure que, si la recourante a veillé à une telle concordance et l'a fait savoir à la fondation, c'est qu'elle connaissait la volonté de l'institution de prévoyance de conclure un contrat de réassurance en matière de risques décès et invalidité totalement congruent avec son règlement. En l'absence de tout élément indiquant un changement de stratégie par la suite, il importe peu que la lettre de l'administrateur susmentionnée ait été envoyée en rapport avec le contrat de réassurance d'avril 2005, et non avec celui conclu en juillet 2008, également négocié par la recourante, qui était en vigueur lors du cas G.________. Au surplus, d'autres éléments - non critiqués par la recourante - ont conforté la cour cantonale dans ses constatations sur la volonté réelle de la fondation en matière de réassurance et sa connaissance par la société chargée de négocier avec le réassureur. Il s'agit, d'une part, de la mention - même erronée - dans le rapport de 2010 de l'experte en prévoyance professionnelle d'une réassurance complète des risques par un contrat avec un assureur. D'autre part, la cour cantonale a constaté que la recourante était nécessairement consciente du fait que la fondation s'en remettait entièrement au contrat de réassurance pour couvrir les risques décès et invalidité; en effet, la recourante, chargée de la comptabilité de la fondation et spécialiste en la matière, ne pouvait ignorer ni la pratique uniforme imposant la constitution de réserves pour des risques non couverts par une réassurance, ni, in concreto , l'absence de telles réserves dans les comptes de la fondation. Il s'ensuit que le grief fondé sur une appréciation arbitraire des preuves et un établissement manifestement inexact des faits doit être rejeté.</w:t>
      </w:r>
    </w:p>
    <w:p>
      <w:r>
        <w:rPr>
          <w:b/>
        </w:rPr>
        <w:t>E. 6.1</w:t>
      </w:r>
    </w:p>
    <w:p>
      <w:r>
        <w:t>Selon la recourante, la cour cantonale a violé l' art. 8 CC de deux manières. D'une part, elle aurait renversé le fardeau de la preuve en retenant que la recourante pouvait et devait comprendre la volonté de la fondation; les juges genevois auraient en effet tiré argument de l'absence d'une contre-preuve, à savoir qu'aucune volonté de la fondation de ne pas couvrir certains risques n'avait été démontrée et que, de l'aveu même de l'administrateur de la recourante, la fondation ne lui avait pas demandé de limiter la couverture de réassurance sur un point ou un autre. D'autre part, la Cour de justice a tenu pour établie la stratégie de réassurance complète de la fondation alors qu'il n'y aurait pas le commencement d'une preuve d'une telle volonté.</w:t>
      </w:r>
    </w:p>
    <w:p>
      <w:r>
        <w:rPr>
          <w:b/>
        </w:rPr>
        <w:t>E. 6.2</w:t>
      </w:r>
    </w:p>
    <w:p>
      <w:r>
        <w:t>Le grief est sans objet. En effet, la cour cantonale a constaté, au terme d'une appréciation des preuves dénuée d'arbitraire (consid. 5.2 supra), la volonté réelle de la fondation et sa bonne compréhension par la recourante. Or, si l' art. 8 CC interdit de tenir pour exactes les allégations non prouvées d'une partie, nonobstant leur contestation par l'autre ( ATF 130 III 591 consid. 5.4 p. 601 s.; 114 II 289 consid. 2a p. 291), cette disposition ne régit pas l'appréciation des preuves, ressortissant au juge du fait, qu'elle ne saurait servir à corriger ( ATF 128 III 22 consid. 2d p. 25; 127 III 248 consid. 3a p. 253, 519 consid. 2a p. 522). De même, dès l'instant où le résultat de l'interprétation subjective de la volonté des parties résiste au grief d'arbitraire, il est vain de critiquer, en invoquant une violation de l' art. 8 CC , la motivation subsidiaire de l'arrêt attaqué, fondée sur une interprétation objective.</w:t>
      </w:r>
    </w:p>
    <w:p>
      <w:r>
        <w:rPr>
          <w:b/>
        </w:rPr>
        <w:t>E. 7</w:t>
      </w:r>
    </w:p>
    <w:p>
      <w:r>
        <w:t>En dernier lieu, la recourante invoque le comportement de l'experte en prévoyance professionnelle à titre d'acte interruptif de causalité. Elle fait valoir que la responsabilité de l'intéressée, fondée sur l' art. 52 LPP , n'est pas une responsabilité contractuelle ordinaire, à mettre sur le même pied que la responsabilité du mandataire comme la cour cantonale l'aurait admis à tort. Pour la recourante, l'experte a commis une négligence grave en ne vérifiant pas correctement le rapport de couverture, en ne décidant pas la mise en place de mesures de sécurité supplémentaires et en n'avisant pas le conseil de fondation. Ces lacunes importantes et totalement imprévisibles constitueraient la cause - naturelle et adéquate - exclusive du dommage.</w:t>
      </w:r>
    </w:p>
    <w:p>
      <w:r>
        <w:rPr>
          <w:b/>
        </w:rPr>
        <w:t>E. 7.1</w:t>
      </w:r>
    </w:p>
    <w:p>
      <w:r>
        <w:t>En l'espèce, l'obligation de diligence incombant au mandataire chargé de la négociation avec le réassureur impliquait de vérifier la congruence complète entre le contrat de réassurance et le règlement de prévoyance. La violation de cette obligation contractuelle par la recourante, présumée fautive, a eu pour conséquence une absence de couverture par le réassureur de prestations que l'intimée doit verser à une affiliée. La cour cantonale a retenu ainsi une causalité naturelle et adéquate entre l'omission fautive de la recourante et le dommage subi par la fondation. La question est de savoir si l'éventuelle violation par l'experte en prévoyance professionnelle de ses obligations était susceptible d'interrompre ce lien de causalité. Selon la jurisprudence,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 ATF 143 III 242 consid. 3.7; 143 II 661 consid. 7.1 p. 671; 130 III 182 consid. 5.4 p. 188; 127 III 453 consid. 5d p. 457; 122 IV 17 consid. 2c/bb p. 23; 116 II 519 consid. 4b p. 524).</w:t>
      </w:r>
    </w:p>
    <w:p>
      <w:r>
        <w:rPr>
          <w:b/>
        </w:rPr>
        <w:t>E. 7.2</w:t>
      </w:r>
    </w:p>
    <w:p>
      <w:r>
        <w:t>Comme la cour cantonale le relève à juste titre, la recourante devait s'assurer, lors de la conclusion du contrat de réassurance, d'une structure financière conforme à la volonté de la fondation, alors que l'experte intervenait plus tard, en contrôlant le degré de couverture des risques supportés par la fondation et en préconisant si nécessaire des mesures de sécurité supplémentaires. A cet égard, une éventuelle défaillance dans ce contrôle a posteriori ne saurait manifestement constituer un comportement grave, imprévisible et déraisonnable au point que le manquement de la recourante ne puisse plus être considéré comme une cause adéquate du dommage. Peu importe que, le cas échéant, la responsabilité de l'experte soit engagée sur la base de l' art. 52 LPP . Une telle responsabilité n'a pas ipso facto pour effet d'exonérer un autre responsable qui a violé une obligation contractuelle et qui, dans les rapports externes, peut toujours être recherché pour la totalité du dommage qu'il a causé. Il s'ensuit que le grief tiré d'une interruption de la causalité doit être écarté.</w:t>
      </w:r>
    </w:p>
    <w:p>
      <w:r>
        <w:rPr>
          <w:b/>
        </w:rPr>
        <w:t>E. 8</w:t>
      </w:r>
    </w:p>
    <w:p>
      <w:r>
        <w:t>Sur le vu de ce qui précède, le recours ne peut être que rejeté. Les frais judiciaires seront mis à la charge de la recourante ( art. 66 al. 1 LTF ), qui versera par ailleurs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