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4A_494/2015 vom 17. Februar 2016</w:t>
      </w:r>
    </w:p>
    <w:p>
      <w:r>
        <w:t>Bundesgericht, 2016-02-17, DE</w:t>
      </w:r>
    </w:p>
    <w:p>
      <w:r>
        <w:rPr>
          <w:b/>
        </w:rPr>
        <w:t xml:space="preserve">Quelle: </w:t>
      </w:r>
      <w:r>
        <w:t>https://mcp.opencaselaw.ch/entscheid/bger_4A_494_2015</w:t>
      </w:r>
    </w:p>
    <w:p>
      <w:r>
        <w:t>FR: TF 4A_494/2015 du 17 février 2016</w:t>
      </w:r>
    </w:p>
    <w:p>
      <w:r>
        <w:t>IT: TF 4A_494/2015 del 17 febbraio 2016</w:t>
      </w:r>
    </w:p>
    <w:p>
      <w:pPr>
        <w:pStyle w:val="Heading2"/>
      </w:pPr>
      <w:r>
        <w:t>Erwägungen</w:t>
      </w:r>
    </w:p>
    <w:p>
      <w:r>
        <w:rPr>
          <w:b/>
        </w:rPr>
        <w:t>E. 1.1</w:t>
      </w:r>
    </w:p>
    <w:p>
      <w:r>
        <w:t>Angefochten ist ein Schiedsspruch über eine Streitigkeit zwischen Parteien, die ihren Sitz in der Schweiz haben. Weder in der Schiedsvereinbarung noch später haben die Parteien vereinbart, dass die Bestimmungen über die internationale Schiedsgerichtsbarkeit ( Art. 176 ff. IPRG [SR 291]) Anwendung finden sollen (vgl. Art. 353 Abs. 2 ZPO [SR 272]). Es gelten somit die Regeln über die interne Schiedsgerichtsbarkeit gemäss dem 3. Teil der Schweizerischen Zivilprozessordnung ( Art. 353 ff. ZPO ).</w:t>
      </w:r>
    </w:p>
    <w:p>
      <w:r>
        <w:t>Die Parteien haben von der ihnen durch Art. 390 Abs. 1 ZPO eingeräumten Möglichkeit, als Rechtsmittelinstanz ein kantonales Gericht zu bezeichnen, nicht Gebrauch gemacht. Der ergangene Schiedsspruch unterliegt somit der Beschwerde an das Bundesgericht ( Art. 389 Abs. 1 ZPO und Art. 77 Abs. 1 lit. b BGG ).</w:t>
      </w:r>
    </w:p>
    <w:p>
      <w:r>
        <w:rPr>
          <w:b/>
        </w:rPr>
        <w:t>E. 1.2</w:t>
      </w:r>
    </w:p>
    <w:p>
      <w:r>
        <w:t>Die Beschwerdegründe gegen einen Schiedsspruch sind beschränkter als gegen ein staatliches Urteil; sie sind im Gesetz abschliessend aufgezählt ( Art. 393 ZPO ). Das Bundesgericht prüft zudem nur die Beschwerdegründe, die in der Beschwerde vorgebracht und begründet werden ( Art. 77 Abs. 3 BGG ). Diese Anforderung entspricht der nach Art. 106 Abs. 2 BGG für die Verletzung von Grundrechten vorgesehenen Rügepflicht ( BGE 134 III 186 E. 5). Die beschwerdeführende Partei muss die einzelnen Beschwerdegründe, die nach ihrem Dafürhalten erfüllt sind, benennen; es ist nicht Aufgabe des Bundesgerichts, danach zu forschen, welcher Beschwerdegrund nach Art. 393 ZPO mit den einzelnen erhobenen Rügen geltend gemacht werden soll, wenn dies in der Beschwerde im Zusammenhang mit diesen nicht präzisiert wird. Sodann hat die beschwerdeführende Partei im Detail aufzuzeigen, warum die angerufenen Beschwerdegründe erfüllt sind, wobei sie mit ihrer Kritik an den als rechtsfehlerhaft erachteten Erwägungen des Schiedsgerichts anzusetzen hat (Urteile 4A_358/2014 vom 14. Januar 2015 E. 1.2; 4A_117/2014 vom 23. Juli 2014 E. 1.2; 4A_398/2013 vom 10. Januar 2014 E. 1.2).</w:t>
      </w:r>
    </w:p>
    <w:p>
      <w:r>
        <w:rPr>
          <w:b/>
        </w:rPr>
        <w:t>E. 1.3</w:t>
      </w:r>
    </w:p>
    <w:p>
      <w:r>
        <w:t>Das Bundesgericht legt seinem Urteil den Sachverhalt zugrunde, den das Schiedsgericht festgestellt hat ( Art. 105 Abs. 1 BGG ). Es kann die Sachverhaltsfeststellung des Schiedsgerichts weder berichtigen noch ergänzen, selbst wenn diese offensichtlich unrichtig ist oder auf einer Rechtsverletzung im Sinne von Art. 95 BGG beruht (vgl. Art. 77 Abs. 2 BGG , der die Anwendbarkeit von Art. 97 sowie Art. 105 Abs. 2 BGG ausschliesst). Allerdings kann das Bundesgericht die tatsächlichen Feststellungen des angefochtenen Schiedsentscheids überprüfen, wenn gegenüber diesen Sachverhaltsfeststellungen zulässige Rügen im Sinne von Art. 393 ZPO vorgebracht oder ausnahmsweise Noven (vgl. Art. 99 Abs. 1 BGG ) berücksichtigt werden (vgl. für die internationale Schiedsgerichtsbarkeit: BGE 140 III 477 E. 3.1 S. 477; 138 III 29 E. 2.2.1 S. 34; 133 III 139 E. 5 S. 141; je mit Hinweisen).</w:t>
      </w:r>
    </w:p>
    <w:p>
      <w:r>
        <w:rPr>
          <w:b/>
        </w:rPr>
        <w:t>E. 1.4</w:t>
      </w:r>
    </w:p>
    <w:p>
      <w:r>
        <w:t>Die Beschwerde nach Art. 389 ff. ZPO ist grundsätzlich kassatorischer Natur, weshalb bei einer Gutheissung derselben einzig die Aufhebung des angefochtenen Entscheids und die Rückweisung der Sache an das Schiedsgericht in Betracht kommt; im Allgemeinen kann das Bundesgericht in der Sache nicht selbst entscheiden (Art. 77 Abs. 2 i.V.m. Art. 107 Abs. 2 BGG ). Eine Ausnahme ist im Gesetz für den Fall vorgesehen, dass der Schiedsentscheid wegen offensichtlich zu hoher Entschädigungen und Auslagen angefochten wird ( Art. 395 Abs. 4 ZPO ). Hier ist von der beschwerdeführenden Partei in Beachtung der allgemeinen Vorschriften für Beschwerden an das Bundesgericht ein materielles Rechtsbegehren zu stellen ( Art. 42 Abs. 1 BGG ; vgl. BGE 136 V 131 E. 1.2 S. 135; 133 III 489 E. 3.1); sie hat die von ihr als angemessen erachteten Entschädigungen und Auslagen zu beziffern ( BGE 134 III 235 E. 2).</w:t>
      </w:r>
    </w:p>
    <w:p>
      <w:r>
        <w:t>Der Antrag, es sei das TAS anzuweisen, die Klage der Beschwerdegegnerin abzuweisen (Antrags-Ziff. 2), ist demnach unzulässig. Insoweit ist auf die Beschwerde nicht einzutreten.</w:t>
      </w:r>
    </w:p>
    <w:p>
      <w:r>
        <w:rPr>
          <w:b/>
        </w:rPr>
        <w:t>E. 2</w:t>
      </w:r>
    </w:p>
    <w:p>
      <w:r>
        <w:t>Die Beschwerdeführerin wirft dem Schiedsgericht unter Berufung auf Art. 393 lit. e ZPO vor, der angefochtene Schiedsspruch beruhe auf einer offenbaren Rechtsverletzung.</w:t>
      </w:r>
    </w:p>
    <w:p>
      <w:r>
        <w:rPr>
          <w:b/>
        </w:rPr>
        <w:t>E. 2.1</w:t>
      </w:r>
    </w:p>
    <w:p>
      <w:r>
        <w:t>Das Schiedsgericht erwog, dass sich die Zusatzvereinbarung auf die in den Akten befindliche Transfervereinbarung beziehe, auch wenn im Rubrum der Zusatzvereinbarung auf eine Vereinbarung vom 1. Februar 2011 Bezug genommen werde und eine Vereinbarung mit diesem Datum von keiner der Parteien ins Recht gelegt worden sei. Mit der Zusatzvereinbarung sei der Beschwerdegegnerin ein Anteil am zukünftigen Transfergewinn versprochen worden. Zur Höhe des vertraglich vereinbarten Anteils am Transfergewinn führte das Schiedsgericht aus, für den Weitertransfer des Spielers habe die FC D.________ AG eine Transferentschädigung in der Höhe von Fr. 1'220'000.-- bezahlt, wovon Fr. 350'000.-- der E.________ GmbH und Fr. 870'000.-- der Beschwerdeführerin zustünden. Entsprechend betrage der massgebende Transferertrag Fr. 870'000.--.</w:t>
      </w:r>
    </w:p>
    <w:p>
      <w:r>
        <w:t>Zu dem im Hinblick auf die Berechnung des Transfergewinns zu berücksichtigenden Transferaufwand stellte das Schiedsgericht fest, dass kein tatsächlicher Konsens darüber bestehe, ob auch die Ausgaben im Zusammenhang mit dem Transfer des Spielers von der Beschwerdegegnerin an die Beschwerdeführerin als abzugsfähig im Sinne von Ziffer 2 der Zusatzvereinbarung gelte, weshalb der Inhalt des Vertrags diesbezüglich nach dem Vertrauensprinzip zu ermitteln sei. Die Zusatzvereinbarung befasse sich ausschliesslich mit einem eventuellen zukünftigen "Weitertransfer des Spielers C.________ vom FC A.________ zu einem weiteren Verein"; der Begriff des Aufwands werde in der Vereinbarung nicht definiert und der frühere Transfer des Spielers von der Beschwerdegegnerin zur Beschwerdeführerin werde nicht erwähnt. Das Schiedsgericht legte Ziffer 2 der Zusatzvereinbarung dahingehend aus, dass unter dem zu berücksichtigenden Transferaufwand nur derjenige Aufwand zu verstehen sei, der im Zusammenhang mit dem Weitertransfer des Spielers, nicht aber mit früheren Vorfällen, stehe. Der Aufwand für den damaligen "Erwerb" des Spielers stehe nicht im Zusammenhang mit dessen Weitertransfer und sei daher kein abzugsfähiger Transferaufwand im Sinne des Vertrags.</w:t>
      </w:r>
    </w:p>
    <w:p>
      <w:r>
        <w:t>Entsprechend sei vom anrechenbaren Transferertrag von Fr. 870'000.-- weder der Betrag von Fr. 50'000.-- abzuziehen, den die Beschwerdeführerin der Beschwerdegegnerin für den "Erwerb" des Spielers entrichtete, noch das Entgelt von Fr. 390'000.--, das die Beschwerdeführerin der E.________ GmbH für den Erwerb eines Teils der "Rechte am Spieler" vom 1. Februar 2011 bezahlt hatte. Zu reduzieren sei der anrechenbare Transferertrag von Fr. 870'000.-- lediglich um die von der Beschwerdegegnerin anerkannten Abzüge von Fr. 20'000.-- und Fr. 48'000.--, woraus sich ein Transfergewinn von Fr. 802'000.-- ergebe. Gemäss Zusatzvereinbarung stehe der Beschwerdegegnerin davon 10 % zu, mithin Fr. 80'200.--. Nachdem die Beschwerdeführerin der Beschwerdegegnerin bereits Fr. 33'000.-- bezahlt habe, betrage der geschuldete Restbetrag Fr. 47'200.-- (Fr. 80'200.-- minus Fr. 33'000.--) zuzüglich 8 % Mehrwertsteuer, also insgesamt Fr. 50'976.--.</w:t>
      </w:r>
    </w:p>
    <w:p>
      <w:r>
        <w:rPr>
          <w:b/>
        </w:rPr>
        <w:t>E. 2.2.1</w:t>
      </w:r>
    </w:p>
    <w:p>
      <w:r>
        <w:t>Gegen den Schiedsspruch kann vorgebracht werden, er sei im Ergebnis willkürlich, weil er auf offensichtlich aktenwidrigen tatsächlichen Feststellungen oder auf einer offensichtlichen Verletzung des Rechts oder der Billigkeit beruht ( Art. 393 lit. e ZPO ).</w:t>
      </w:r>
    </w:p>
    <w:p>
      <w:r>
        <w:t>Mit offensichtlicher Verletzung des Rechts gemäss Art. 393 lit. e ZPO ist nur eine Verletzung des materiellen Rechts gemeint und nicht eine solche des Verfahrensrechts ( BGE 131 I 45 E. 3.4; 112 Ia 350 E. 2b S. 352). Vorbehalten bleiben in Analogie zur Rechtsprechung zu Art. 190 Abs. 2 lit. e IPRG Prozessfehler, die den verfahrensrechtlichen Ordre public verletzen (Urteile 4A_358/2014 vom 14. Januar 2015 E. 2.3.1; 4A_378/2014 vom 24. November 2014 E. 2.1; 4A_117/2014 vom 23. Juli 2014 E. 3.1). Die Umschreibung des Willkürtatbestands in Art. 393 lit. e ZPO stimmt, soweit es nicht um Beweiswürdigung geht, mit dem Begriff der Willkür überein, den das Bundesgericht zu Art. 9 BV entwickelt hat (vgl. BGE 131 I 45 E. 3.4 S. 48).</w:t>
      </w:r>
    </w:p>
    <w:p>
      <w:r>
        <w:t>Willkür in der Rechtsanwendung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(vgl. BGE 138 IV 13 E. 5.1 S. 22; 138 III 378 E. 6.1; 135 V 2 E. 1.3).</w:t>
      </w:r>
    </w:p>
    <w:p>
      <w:r>
        <w:rPr>
          <w:b/>
        </w:rPr>
        <w:t>E. 2.2.2</w:t>
      </w:r>
    </w:p>
    <w:p>
      <w:r>
        <w:t>Die Beschwerdeführerin vermag mit ihren Ausführungen keine Willkür aufzuzeigen. Sie verkennt zunächst, dass das Schiedsgericht bei der Beurteilung des abzugsfähigen Transferaufwands nicht etwa von einem tatsächlichen Konsens der Parteien ausging, sondern die Zusatzvereinbarung nach Treu und Glauben auslegte. Sie stellt den Erwägungen des angefochtenen Entscheids - in unzulässiger Weise unter Berufung auf ein neu angerufenes Beweismittel ( Art. 99 Abs. 1 BGG ) - ihre eigene Sicht der Dinge entgegen, indem sie vorbringt, der wirkliche Wille der Parteien sei darauf ausgerichtet gewesen, "dass die Beschwerdeführerin vom Transfererlös sämtliche im Zusammenhang mit dem Hin- und dem Weitertransfer des Spielers C.________ anfallenden Aufwendungen zum Abzug bringen [könne]". Sie kritisiert lediglich in appellatorischer Weise den angefochtenen Schiedsentscheid, ohne darzulegen, inwiefern dem Schiedsgericht eine willkürliche Vertragsauslegung vorzuwerfen wäre.</w:t>
      </w:r>
    </w:p>
    <w:p>
      <w:r>
        <w:t>Auch mit ihrem fiktiven Rechenbeispiel, nach dem ihr unter der Annahme höherer Kosten für den "Erwerb" des Spielers bei Anwendung der schiedsgerichtlichen Berechnungsgrundsätze aus dem Hin- und Weitertransfer insgesamt ein Verlust entstanden wäre, zeigt die Beschwerdeführerin im konkreten Fall weder eine willkürliche Anwendung der massgebenden Auslegungsgrundsätze noch eine offensichtlich aktenwidrige tatsächliche Feststellung des Schiedsgerichts hinsichtlich des tatsächlichen Parteiwillens auf. Ihre Berufung auf einen angeblich übereinstimmenden wirklichen Willen der Parteien, der vom Schiedsgericht gerade nicht festgestellt werden konnte, ist demnach unbeachtlich. Mit dem Vorbringen, unter dem Begriff des Transferaufwands sei entgegen dem angefochtenen Entscheid nicht nur der Aufwand für den Weitertransfer, sondern auch derjenige zu verstehen, der im Zusammenhang mit dem Hintransfer des Spielers entstanden sei, unterbreitet die Beschwerdeführerin dem Bundesgericht lediglich eine weitere denkbare Vertragsauslegung, ohne damit jedoch eine willkürliche Anwendung der massgebenden Grundsätze der Auslegung nach dem Vertrauensprinzip durch das Schiedsgericht aufzuzeigen. Aus dem in der Beschwerde ins Feld geführten nachträglichen Verhalten der Beschwerdegegnerin lässt sich im Übrigen von vornherein nichts zugunsten der Beschwerdeführerin ableiten, zumal nachträgliches Parteiverhalten bei der Auslegung nach dem Vertrauensprinzip nicht von Bedeutung ist ( BGE 133 III 61 E. 2.2.1 S. 67; 132 III 626 E. 3.1; 129 III 675 E. 2.3 S. 680).</w:t>
      </w:r>
    </w:p>
    <w:p>
      <w:r>
        <w:rPr>
          <w:b/>
        </w:rPr>
        <w:t>E. 3</w:t>
      </w:r>
    </w:p>
    <w:p>
      <w:r>
        <w:t>Die Beschwerde erweist sich als unbegründet und ist abzuweisen, soweit darauf eingetreten werden kann. Dem Ausgang des Verfahrens entsprechend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