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4A_493/2014 vom 26. Januar 2015</w:t>
      </w:r>
    </w:p>
    <w:p>
      <w:r>
        <w:t>Bundesgericht, 2015-01-26, DE</w:t>
      </w:r>
    </w:p>
    <w:p>
      <w:r>
        <w:rPr>
          <w:b/>
        </w:rPr>
        <w:t xml:space="preserve">Quelle: </w:t>
      </w:r>
      <w:r>
        <w:t>https://mcp.opencaselaw.ch/entscheid/bger_4A_493_2014</w:t>
      </w:r>
    </w:p>
    <w:p>
      <w:r>
        <w:t>FR: TF 4A_493/2014 du 26 janvier 2015</w:t>
      </w:r>
    </w:p>
    <w:p>
      <w:r>
        <w:t>IT: TF 4A_493/2014 del 26 gennaio 2015</w:t>
      </w:r>
    </w:p>
    <w:p>
      <w:pPr>
        <w:pStyle w:val="Heading2"/>
      </w:pPr>
      <w:r>
        <w:t>Erwägungen</w:t>
      </w:r>
    </w:p>
    <w:p>
      <w:r>
        <w:rPr>
          <w:b/>
        </w:rPr>
        <w:t>E. 1</w:t>
      </w:r>
    </w:p>
    <w:p>
      <w:r>
        <w:t>Das Bundesgericht prüft von Amtes wegen und mit freier Kognition, ob ein Rechtsmittel zulässig ist ( BGE 135 III 1 E. 1.1 S. 3).</w:t>
      </w:r>
    </w:p>
    <w:p>
      <w:r>
        <w:rPr>
          <w:b/>
        </w:rPr>
        <w:t>E. 1.1.1</w:t>
      </w:r>
    </w:p>
    <w:p>
      <w:r>
        <w:t>Der angefochtene Entscheid des Kantonsgerichts St. Gallen vom 30. Juni 2014 ist ein verfahrensabschliessender Endentscheid ( Art. 90 BGG ) einer oberen kantonalen Instanz, die auf ein Rechtsmittel hin kantonal letztinstanzlich in einer Zivilsache entschieden hat (Art. 75 i.V.m. Art. 72 BGG ), weshalb die Beschwerde in Zivilsachen grundsätzlich in Betracht kommt.</w:t>
      </w:r>
    </w:p>
    <w:p>
      <w:r>
        <w:rPr>
          <w:b/>
        </w:rPr>
        <w:t>E. 1.1.2</w:t>
      </w:r>
    </w:p>
    <w:p>
      <w:r>
        <w:t>In arbeitsrechtlichen Streitigkeiten ist die Beschwerde in Zivilsachen nur zulässig, wenn der Streitwert mindestens Fr. 15'000.-- beträgt ( Art. 74 Abs. 1 lit. a BGG ). Richtet sich die Beschwerde gegen einen Endentscheid, so bestimmt sich der Streitwert nach den Begehren, die vor der Vorinstanz streitig geblieben waren ( Art. 51 Abs. 1 lit. a BGG ). Für die Frage, ob bei der Berechnung des Streitwerts verschiedene Begehren zusammenzurechnen sind ( Art. 52 und Art. 53 BGG ), ist nicht massgebend, welche Partei formell als Klagepartei auftritt beziehungsweise die Begehren stellt, sondern welche Ansprüche die eine Partei gegenüber der anderen erhebt (vgl. BGE 102 II 394 E. 1 S. 395 f. mit Hinweisen). Sind in einem Verfahren mehrere Ansprüche derselben Partei (oder von Streitgenossen) streitig, die sich nicht gegenseitig ausschliessen, werden sie zusammengerechnet ( Art. 52 BGG ). Sind demgegenüber sowohl Ansprüche der beschwerdeführenden als auch der Gegenpartei streitig, liegt der Fall vor, den der Gesetzgeber bei der Regelung der Widerklage vor Augen hatte, und erfolgt keine Zusammenrechnung ( Art. 53 Abs. 1 BGG ). Demgegenüber ist unbeachtlich, ob der Anspruchsberechtigte die Rolle des Klägers oder des Beklagten innehat (vgl. BGE 102 II 394 E. 1 S. 395; Urteil 4A_181/2009 vom 20. Juli 2009 E. 1.1).</w:t>
      </w:r>
    </w:p>
    <w:p>
      <w:r>
        <w:rPr>
          <w:b/>
        </w:rPr>
        <w:t>E. 1.1.3</w:t>
      </w:r>
    </w:p>
    <w:p>
      <w:r>
        <w:t>Der Beschwerdeführer hatte im vorinstanzlichen Verfahren keine Anschlussberufung erhoben und führte nur gegen Dispositiv-Ziffer 3 (bezüglich der retinierten Gegenstände) des erstinstanzlichen (Erläuterungs-) Entscheides vom 27. Mai 2013 Berufung. Soweit seine Klage in Bezug auf Spesen in der Höhe von Fr. 2'125.-- abgewiesen worden war, ist der Entscheid des Kreisgerichts somit rechtskräftig geworden. Streitig waren im Berufungsverfahren noch der Septemberlohn 2010 in der Höhe von Fr. 8'000.-- und die Formulierung des Arbeitszeugnisses, bzw. die Änderung zweier Sätze, was vom Kantonsgericht mit einem Streitwert von Fr. 2'000.-- berücksichtigt wurde. Da sich diese Ansprüche nicht gegenseitig ausschliessen, werden sie zusammengerechnet, womit sich ein Streitwert von Fr. 10'000.-- ergibt ( Art. 52 BGG ). In der Rechtsmittelbelehrung des angefochtenen Gerichtsentscheids wird jedoch ein Streitwert von Fr. 20'000.-- angegeben, welcher vom Beschwerdeführer in seiner zivilrechtlichen Beschwerde vor Bundesgericht ohne weitere Begründung übernommen wird. Wie den Erwägungen des Kantonsgerichts zu den Prozesskosten zu entnehmen ist, rechnete dieses zu den Fr. 10'000.-- (Lohn und Arbeitszeugnis) weitere Fr. 10'000.-- im Zusammenhang mit der umstrittenen Frage, ob der Beschwerdeführer die retinierten Gegenstände (Auto und Laptop) herauszugeben habe, hinzu, woraus nach seiner Meinung ein Streitwert von insgesamt Fr. 20'000.-- resultierte. Die Beschwerdegegnerin erachtet es als fraglich, ob die Streitwertgrenze für das Verfahren vor Bundesgericht erreicht wird. In der Tat muss berücksichtigt werden, dass der Beschwerdeführer zu keiner Zeit das Eigentum an den von ihm zurückbehaltenen Gegenständen geltend machte und diese vielmehr einzig zur Sicherung seiner Lohnforderung einstweilen nicht herausgeben wollte. Es ist offensichtlich, dass der Wert des Retentionsrechts und der dadurch gesicherten Forderung unter diesen Umständen nicht zusammenzuzählen sind, und zwar nicht, weil es sich nicht um eine Mehrzahl von Begehren im Sinne von Art. 52 BGG handelt, sondern weil das Retentionsrecht nicht unabhängig, sondern bloss akzessorisch zur (Lohn-) Forderung des Beschwerdeführers besteht (vgl. Beat Rudin, in: Basler Kommentar, Bundesgerichtsgesetz, 2. Aufl. 2011, N. 12 zu Art. 52 BGG ). Daran ändert auch der Umstand nichts, dass sich die Vorinstanz mit zwei Berufungen zu befassen hatte, welche sie in einem einzigen Urteil behandelte, einerseits die Berufung der Arbeitgeberin gegen den Entscheid des Kreisgerichts vom 27. Mai 2013 mit den Anträgen, die Ziffern 1, 2 und 5 des Entscheides vom 27. Mai 2013 seien aufzuheben (Berufung BO.2013.58) und andererseits diejenige des ehemaligen Arbeitnehmers gegen den Erläuterungsentscheid vom 27. Mai 2013 (Berufung BO.2013.59) mit dem Rechtsbegehren, Ziffer 3 des Entscheids (bezüglich der retinierten Gegenstände) sei abzuändern. Ob die Vorinstanz auf die Berufung des Beschwerdeführers mit Blick auf Art. 308 ZGB überhaupt eintreten durfte, kann dahingestellt bleiben, da die Berufung der Beschwerdegegnerin zweifellos zulässig war und er seine abweichende Haltung als Gegenpartei in diesem Verfahren, in derselben Angelegenheit, einbringen konnte und durfte.</w:t>
      </w:r>
    </w:p>
    <w:p>
      <w:r>
        <w:rPr>
          <w:b/>
        </w:rPr>
        <w:t>E. 1.1.4</w:t>
      </w:r>
    </w:p>
    <w:p>
      <w:r>
        <w:t>Aus dem in der Rechtsmittelbelehrung der Vorinstanz falsch angegebenen Streitwert von Fr. 20'000.-- kann der Beschwerdeführer nichts zu seinen Gunsten ableiten. Zwar dürfen den Parteien aus einer unrichtigen Rechtsmittelbelehrung keine Nachteile erwachsen ( Art. 49 BGG ). Eine falsche Rechtsmittelbelehrung kann indessen keine Rechtsmittelmöglichkeit schaffen, die es gemäss Gesetz gar nicht gibt ( BGE 125 II 293 E. 1d S. 300; 113 Ib 212 E. 1 S. 213; Amstutz/Arnold, in: Basler Kommentar, Bundesgerichtsgesetz, 2. Aufl. 2011 N. 11 zu Art. 49 BGG ). Ein Nachteil könnte gegeben sein, wenn der Beschwerdeführer im Vertrauen auf die Zulässigkeit der Beschwerde in Zivilsachen unterlassen hat, die Verletzung verfassungsmässiger Rechte zu rügen oder geltend zu machen, es stelle sich eine Rechtsfrage von grundsätzlicher Bedeutung. Vertrauensschutz geniesst aber nur,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 BGE 134 I 199 E. 1.3.1 S. 203 mit Hinweisen). Es kann offen bleiben, ob der Beschwerdeführer bzw. sein Rechtsvertreter vorliegend bei gehöriger Sorgfalt hätte erkennen müssen, dass sich der Streitwert nicht aus der Zusammenrechnung der umstrittenen Lohnforderung mit dem Wert der zu ihrer Sicherung retinierten Gegenstände ergeben kann. Denn die Beschwerde in Zivilsachen steht zwar mangels Erreichens des Streitwerts gemäss Art. 74 Abs. 1 lit. a BGG nicht offen, allerdings findet mit Blick darauf, dass der Beschwerdeführer letztinstanzlich auch eine Verletzung verfassungsmässiger Rechte geltend macht, eine Konversion des Rechtsmittels in eine subsidiäre Verfassungsbeschwerde ( Art. 113 ff. BGG ) statt (vgl. E. 1.2 hiernach), weshalb ihm aus der falschen Rechtsmittelbelehrung des Kantonsgerichts kein Nachteil erwächst.</w:t>
      </w:r>
    </w:p>
    <w:p>
      <w:r>
        <w:rPr>
          <w:b/>
        </w:rPr>
        <w:t>E. 1.2.1</w:t>
      </w:r>
    </w:p>
    <w:p>
      <w:r>
        <w:t>Mit der subsidiären Verfassungsbeschwerde kann nur die Verletzung verfassungsmässiger Rechte geltend gemacht werden ( Art. 116 BGG ). In diesem Bereich kommt der Grundsatz der gerichtlichen Rechtsanwendung von Amtes wegen ( Art. 106 Abs. 1 BGG ) nicht zum Tragen ( BGE 133 III 589 E. 2 S. 591). Vielmehr gilt das Rügeprinzip ( Art. 106 Abs. 2 BGG ; BGE 133 II 249 E. 1.4.2 S. 254). Die beschwerdeführende Partei muss angeben, welches verfassungsmässige Recht verletzt wurde, und substanziiert darlegen, worin die Verletzung besteht ( BGE 134 V 138 E. 2.1 S. 143; 133 III 439 E. 3.2 S. 444 mit Hinweis). Das Bundesgericht kann die Verletzung eines Grundrechtes somit nur insofern prüfen, als eine solche Rüge in der Beschwerde präzise vorgebracht und begründet worden ist (Art. 117 i.V.m. Art. 106 Abs. 2 BGG ).</w:t>
      </w:r>
    </w:p>
    <w:p>
      <w:r>
        <w:rPr>
          <w:b/>
        </w:rPr>
        <w:t>E. 1.2.2</w:t>
      </w:r>
    </w:p>
    <w:p>
      <w:r>
        <w:t>Der Beschwerdeführer wirft dem Kantonsgericht nicht nur eine Verletzung von Bundesrecht vor, sondern macht insbesondere auch geltend, das Kantonsgericht habe eine willkürliche Beweiswürdigung vorgenommen, und begründet des Weiteren auch, weshalb der vorinstanzliche Entscheid im Ergebnis offensichtlich unhaltbar sei soll. Seine Eingabe ist somit als subsidiäre Verfassungsbeschwerde entgegenzunehmen.</w:t>
      </w:r>
    </w:p>
    <w:p>
      <w:r>
        <w:rPr>
          <w:b/>
        </w:rPr>
        <w:t>E. 2.1</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439 E. 3.2 S. 445 mit Hinweis).</w:t>
      </w:r>
    </w:p>
    <w:p>
      <w:r>
        <w:rPr>
          <w:b/>
        </w:rPr>
        <w:t>E. 2.2</w:t>
      </w:r>
    </w:p>
    <w:p>
      <w:r>
        <w:t>Wird dem kantonalen Gericht Willkür ( Art. 9 BV ) in der Ermittlung des Sachverhaltes vorgeworfen, so hat die beschwerdeführende Partei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Willkür liegt dabei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w:t>
      </w:r>
    </w:p>
    <w:p>
      <w:r>
        <w:rPr>
          <w:b/>
        </w:rPr>
        <w:t>E. 3.1</w:t>
      </w:r>
    </w:p>
    <w:p>
      <w:r>
        <w:t>Das Kantonsgericht stellt in Würdigung der Beweise fest, der Arbeitnehmer habe aufgrund der Art und Weise, wie der Arbeitsvertrag vom 30. Januar 2008 umgesetzt worden sei, offenbar mit der Zeit darauf vertraut, dass es sich bei der Abmachung von monatlichen Zahlungen um eine Minimallohnvereinbarung mit der Möglichkeit eines Mehrverdienstes gehandelt habe. Es könne offen bleiben, ob sich auch die Arbeitgeberin diese Interpretation hätte entgegenhalten lassen müssen. Denn jedenfalls habe sie das Vertrauen des Beschwerdeführers in einen Minimallohn noch vor Unterzeichnung des neuen Vertrags vom 15. Dezember 2009 zerstört bzw. klargestellt, dass sie auf eine Rückforderung für die Jahre 2008 und 2009 zwar verzichten, inskünftig jedoch über die Vorschüsse abrechnen werde, eine Entlöhnung also nur noch "auf reiner Courtagenbasis" erfolge. Dies werde vom Arbeitnehmer denn auch nicht bestritten. Deshalb habe er die Lohnvereinbarung in guten Treuen nicht (mehr) als Minimallohn von Fr. 8'000.-- mit der Möglichkeit eines Mehrverdienstes, sondern als Vorschuss verstehen müssen, über den auch von Gesetzes wegen zwingend abzurechnen sei. Die Arbeitgeberin ihrerseits habe mit der Unterschrift des Arbeitnehmers unter den Vertrag (vom 15. Dezember 2009) davon ausgehen dürfen, von ihm auch so verstanden worden zu sein.</w:t>
      </w:r>
    </w:p>
    <w:p>
      <w:r>
        <w:rPr>
          <w:b/>
        </w:rPr>
        <w:t>E. 3.2</w:t>
      </w:r>
    </w:p>
    <w:p>
      <w:r>
        <w:t>Der Beschwerdeführer vertritt die Ansicht, dass das Kantonsgericht völlig falsch vorgegangen sei, indem es sich auf klar widerlegte Parteibehauptungen gestützt, für den Begriff des "Lohnvorschusses" statt auf die im Arbeitsvertrag ausdrücklich enthaltende Definition auf eine Bedeutung nach allgemeinem Sprachgebrauch abgestellt und die Fakten und Indizien nicht vollständig berücksichtigt habe. Selbst wenn eine Vorschusszahlung im eigentlichen Sinn vereinbart worden wäre, wäre nach seiner Ansicht auch diese klagbar, fällig und bedingungslos zur Zahlung geschuldet gewesen. Eine solche hätte nach seiner Meinung zumindest teilweise ausgerichtet werden müssen, auch wenn (in der Vergangenheit) bereits zu hohe Leistungen bezahlt worden wären, weil Art. 349a OR genau solche Vereinbarungen verbiete.</w:t>
      </w:r>
    </w:p>
    <w:p>
      <w:r>
        <w:rPr>
          <w:b/>
        </w:rPr>
        <w:t>E. 3.2.1</w:t>
      </w:r>
    </w:p>
    <w:p>
      <w:r>
        <w:t>Die Beschwerdegegnerin wendet letztinstanzlich gegen die Argumentation des Arbeitnehmers zu Recht ein, dass dieses Beweiswürdigungsergebnis des Kantonsgerichts nicht nur auf einer Behauptung in der Klagantwort vom 6. April 2011 basiert. Denn berücksichtigt wurde neben anderem auch die Aussage des Arbeitnehmers im Rahmen der Parteibefragung durch das Kreisgericht vom 18. August 2011, wonach für das Jahr 2010 "auf reiner Courtagenbasis" weitergefahren werde. Entgegen der Rüge des Beschwerdeführers trifft auch nicht zu, dass das Kantonsgericht die Aussage des D.________, ehemaliger Verwaltungsrat der Arbeitgeberin, in der Befragung vor dem Kreisgericht in ihr Gegenteil verkehrte. D.________ antwortete auf die Frage, ob zwischen erstem und zweitem Arbeitsvertrag ein Systemwechsel in Bezug auf die Entlöhnung eingetreten sei: "Was anders war; es wurde herabgesetzt. (...) Was die Entschädigungen anbelangt, das war genau dasselbe." Mit der Herabsetzung meinte dieser die Reduktion der jährlichen Basis von Fr. 104'000.-- auf Fr. 96'000.--. Der Beschwerdeführer übersieht, dass nach der Interpretation des D.________ betreffend Entschädigungen nur deshalb alles gleich blieb, weil dieser von Anfang an, also bereits während der Geltung des ersten Arbeitsvertrags vom 30. Januar 2008 von einer Entschädigung auf reiner Provisionsbasis mit monatlichen Vorschüssen ausgegangen war. Durch die Annahme des Kantonsgerichts, dass der Beschwerdeführer zumindest nach Abschluss des zweiten Vertrags vom 15. Dezember 2009 nicht mehr von einem Verzicht der Arbeitgeberin auf Rückforderungen bei im Vergleich zu den geleisteten Vorschüssen geringeren Provisionsansprüchen habe ausgehen dürfen, wird kein verfassungsmässiges Recht verletzt. Die nach Ansicht des Beschwerdeführers "belegten Indizien", welche die Vorinstanz "völlig ausgeblendet" haben soll, vermögen das angefochtene Urteil im Ergebnis nicht als willkürlich erscheinen zu lassen.</w:t>
      </w:r>
    </w:p>
    <w:p>
      <w:r>
        <w:rPr>
          <w:b/>
        </w:rPr>
        <w:t>E. 3.2.2</w:t>
      </w:r>
    </w:p>
    <w:p>
      <w:r>
        <w:t>Ob der Beschwerdeführer die von der Arbeitgeberin ins Recht gelegten "Lohnabrechnungen" ab Januar 2010, welche einen ausdrücklichen Hinweis auf seine Rückzahlungsverpflichtung und ab Juni 2010 den jeweils aktuellen "rückzahlbaren Vorschusssaldo" enthielten, tatsächlich erst nachträglich erhalten hatte, ist für den Ausgang des Verfahrens nicht relevant, weshalb auf die diesbezüglichen Vorbringen in der letztinstanzlich eingereichten Beschwerde nicht einzugehen ist.</w:t>
      </w:r>
    </w:p>
    <w:p>
      <w:r>
        <w:rPr>
          <w:b/>
        </w:rPr>
        <w:t>E. 3.2.3</w:t>
      </w:r>
    </w:p>
    <w:p>
      <w:r>
        <w:t>Die weiteren Rügen, mit welchen die Verletzung von einfachem Bundesrecht gerügt wird, sind im Rahmen der subsidiären Verfassungsbeschwerde unzulässig.</w:t>
      </w:r>
    </w:p>
    <w:p>
      <w:r>
        <w:rPr>
          <w:b/>
        </w:rPr>
        <w:t>E. 3.3</w:t>
      </w:r>
    </w:p>
    <w:p>
      <w:r>
        <w:t>Willkür liegt nur vor, wenn nicht bloss die Begründung eines Entscheids, sondern auch das Ergebnis unhaltbar ist ( BGE 135 V 2 E. 1.3 S. 4 f.; 134 II 124 E. 4.1 S. 133; 132 III 209 E. 2.1 S. 211). Zu beachten ist, dass dem Sachgericht im Bereich der Beweiswürdigung ein erheblicher Ermessensspielraum zusteht (vgl. BGE 132 III 209 E. 2.1 S. 211 ; 129 I 8 E. 2.1 S. 9; 120 Ia 31 E. 4b S. 40; 118 Ia 28 E. 1b S. 30). Die Beweiswürdigung der Vorinstanz kann nicht als verfassungswidrig bezeichnet werden. Der Beschwerdeführer nennt keine stichhaltigen Gründe, welche zur Annahme von Willkür berechtigen würden. Inwieweit eine Verletzung von anderen verfassungsmässigen Rechten vorliegen soll, legt er nicht dar, weshalb sich Weiterungen erübrigen.</w:t>
      </w:r>
    </w:p>
    <w:p>
      <w:r>
        <w:rPr>
          <w:b/>
        </w:rPr>
        <w:t>E. 4</w:t>
      </w:r>
    </w:p>
    <w:p>
      <w:r>
        <w:t>Zum Inhalt des Arbeitszeugnisses und zum Retentionsrecht am Auto und am Laptop kann sich das Bundesgericht nicht äussern, da der Beschwerdeführer in diesem Zusammenhang keine Verletzung verfassungsmässiger Rechte geltend macht.</w:t>
      </w:r>
    </w:p>
    <w:p>
      <w:r>
        <w:rPr>
          <w:b/>
        </w:rPr>
        <w:t>E. 5</w:t>
      </w:r>
    </w:p>
    <w:p>
      <w:r>
        <w:t>Dem Ausgang des Verfahrens entsprechend sind die Gerichtskosten dem Beschwerdeführer aufzuerlegen ( Art. 66 Abs. 1 BGG ). Für die Gerichtskosten kommt ein reduzierter Ansatz zur Anwendung, da es sich um eine Streitigkeit aus einem Arbeitsverhältnis mit einem Streitwert bis zu Fr. 30'000.-- handelt ( Art. 65 Abs. 4 lit. c BGG ). Zudem hat der Beschwerdeführer der anwaltlich vertretenen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