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4A_492/2024 vom 17. Dezember 2024</w:t>
      </w:r>
    </w:p>
    <w:p>
      <w:r>
        <w:rPr>
          <w:i/>
        </w:rPr>
        <w:t>Bundesgericht</w:t>
      </w:r>
      <w:r>
        <w:rPr>
          <w:i/>
        </w:rPr>
        <w:t xml:space="preserve">  ·  2024-12-17</w:t>
      </w:r>
      <w:r>
        <w:rPr>
          <w:i/>
        </w:rPr>
        <w:t xml:space="preserve">  ·  DE</w:t>
      </w:r>
    </w:p>
    <w:p>
      <w:r>
        <w:rPr>
          <w:b/>
        </w:rPr>
        <w:t xml:space="preserve">Source: </w:t>
      </w:r>
      <w:r>
        <w:t>https://mcp.opencaselaw.ch/entscheid/bger_4A_492_2024</w:t>
      </w:r>
    </w:p>
    <w:p>
      <w:r>
        <w:t>FR: TF 4A_492/2024 du 17 décembre 2024 · IT: TF 4A_492/2024 del 17 dicembre 2024</w:t>
      </w:r>
    </w:p>
    <w:p>
      <w:pPr>
        <w:pStyle w:val="Heading2"/>
      </w:pPr>
      <w:r>
        <w:t>Erwägungen</w:t>
      </w:r>
    </w:p>
    <w:p>
      <w:r>
        <w:rPr>
          <w:b/>
        </w:rPr>
        <w:t>E. 1</w:t>
      </w:r>
    </w:p>
    <w:p>
      <w:r>
        <w:t>Das Bundesgericht prüft von Amtes wegen und mit freier Kognition, ob ein Rechtsmittel zulässig ist ( Art. 29 Abs. 1 BGG ; BGE 148 IV 155 E. 1.1 ; 145 I 121 E. 1).</w:t>
      </w:r>
    </w:p>
    <w:p>
      <w:r>
        <w:rPr>
          <w:b/>
        </w:rPr>
        <w:t>E. 1.1</w:t>
      </w:r>
    </w:p>
    <w:p>
      <w:r>
        <w:t>Die Vorinstanz hat eine Verletzung der Fürsorgepflicht durch die Beschwerdegegnerin betreffend den Vorwurf ungenügender minimaler Überwachung des Beschwerdeführers bejaht und die Sache zur (erstmaligen) Prüfung der weiteren Haftungsvoraussetzungen (Schaden, Kausalität, Verschulden) an die Erstinstanz zurückgewiesen. Bei diesem Entscheid handelt es sich, entgegen dem Beschwerdeführer, nicht um einen Teilentscheid. Es liegt vielmehr ein Zwischenentscheid vor (vgl. zur Abgrenzung zwischen einem Teilentscheid gemäss Art. 91 BGG und einem Zwischenentscheid gemäss Art. 93 BGG : BGE 146 III 254 E. 2 und 2.1).</w:t>
      </w:r>
    </w:p>
    <w:p>
      <w:r>
        <w:rPr>
          <w:b/>
        </w:rPr>
        <w:t>E. 1.2</w:t>
      </w:r>
    </w:p>
    <w:p>
      <w:r>
        <w:t>Gegen selbstständig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w:t>
      </w:r>
    </w:p>
    <w:p>
      <w:r>
        <w:rPr>
          <w:b/>
        </w:rPr>
        <w:t>E. 1.3</w:t>
      </w:r>
    </w:p>
    <w:p>
      <w:r>
        <w:t>Die Ausnahme von Art. 93 Abs. 1 lit. b BGG fällt vorliegend bereits deshalb ausser Betracht, weil eine Gutheissung der Beschwerde durch das Bundesgericht (Bejahung zusätzlicher Fürsorgepflichtverletzungen seitens der Beschwerdegegnerin) keinen sofortigen Endentscheid herbeiführen könnte, da die übrigen Haftungsvoraussetzungen weder durch die Vorinstanz noch durch die Erstinstanz geprüft wurden. Weiter legt der Beschwerdeführer nicht dar und es ist auch nicht ersichtlich, dass der angefochtene Zwischenentscheid, mit dem die Sache zur Prüfung der übrigen Haftungsvoraussetzungen an die Erstinstanz zurückgewiesen wurde, für ihn einen nicht wieder gutzumachenden Nachteil im Sinne von Art. 93 Abs. 1 lit. a BGG bewirken könnte. Die Eintretensvoraussetzungen sind daher offensichtlich nicht erfüllt.</w:t>
      </w:r>
    </w:p>
    <w:p>
      <w:r>
        <w:rPr>
          <w:b/>
        </w:rPr>
        <w:t>E. 2</w:t>
      </w:r>
    </w:p>
    <w:p>
      <w:r>
        <w:t>Auf die Beschwerde ist im vereinfachten Verfahren nach Art. 108 Abs. 1 lit. a BGG nicht einzutreten. Der Beschwerdeführer wird kostenpflichtig ( Art. 66 Abs. 1 BGG ). Der Beschwerdegegnerin steht keine Parteientschädigung zu, da ihr aus dem bundesgerichtlichen Verfahren kein entschädigungspflichtiger Aufwand erwachsen ist.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