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4A_491/2017 vom 24. Mai 2018</w:t>
      </w:r>
    </w:p>
    <w:p>
      <w:r>
        <w:t>Bundesgericht, 2018-05-24, FR</w:t>
      </w:r>
    </w:p>
    <w:p>
      <w:r>
        <w:rPr>
          <w:b/>
        </w:rPr>
        <w:t xml:space="preserve">Quelle: </w:t>
      </w:r>
      <w:r>
        <w:t>https://mcp.opencaselaw.ch/entscheid/bger_4A_491_2017</w:t>
      </w:r>
    </w:p>
    <w:p>
      <w:r>
        <w:t>FR: TF 4A_491/2017 du 24 mai 2018</w:t>
      </w:r>
    </w:p>
    <w:p>
      <w:r>
        <w:t>IT: TF 4A_491/2017 del 24 maggio 2018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qui le français (la recourante), qui l'allemand (l'intimée), respectant ainsi l' art. 42 al. 1 LTF en liaison avec l' art. 70 al. 1 Cst. ( ATF 142 III 521 consid. 1). Conformément à sa pratique, le Tribunal fédéral adoptera la langue du recours et rendra, par conséquent, son arrêt en français.</w:t>
      </w:r>
    </w:p>
    <w:p>
      <w:r>
        <w:rPr>
          <w:b/>
        </w:rPr>
        <w:t>E. 2.1</w:t>
      </w:r>
    </w:p>
    <w:p>
      <w:r>
        <w:t>Le recours en matière civile visé par l' art. 77 al. 1 let. a LTF en liaison avec les art. 190 à 192 LDIP n'est recevable qu'à l'encontre d'une</w:t>
      </w:r>
    </w:p>
    <w:p>
      <w:r>
        <w:t>sentence . L'acte attaquable peut être une sentence</w:t>
      </w:r>
    </w:p>
    <w:p>
      <w:r>
        <w:t>finale , qui met un terme à l'instance arbitrale pour un motif de fond ou de procédure, une sentence</w:t>
      </w:r>
    </w:p>
    <w:p>
      <w:r>
        <w:t>partielle , qui porte sur une partie quantitativement limitée d'une prétention litigieuse ou sur l'une des diverses prétentions en cause ou encore qui met fin à la procédure à l'égard d'une partie des consorts, voire une sentence</w:t>
      </w:r>
    </w:p>
    <w:p>
      <w:r>
        <w:t>préjudicielle ou</w:t>
      </w:r>
    </w:p>
    <w:p>
      <w:r>
        <w:t>incidente , qui règle une ou plusieurs questions préalables de fond ou de procédure. En revanche, une simple ordonnance de procédure pouvant être modifiée ou rapportée en cours d'instance n'est pas susceptible de recours. Pour juger de la recevabilité du recours, ce qui est déterminant n'est pas la dénomination du prononcé entrepris, mais le contenu de celui-ci ( ATF 143 III 462 consid. 2.1 et les arrêts cités).</w:t>
      </w:r>
    </w:p>
    <w:p>
      <w:r>
        <w:rPr>
          <w:b/>
        </w:rPr>
        <w:t>E. 2.2</w:t>
      </w:r>
    </w:p>
    <w:p>
      <w:r>
        <w:t>En l'espèce, des quatre chiffres du dispositif de la sentence partielle du 28 juillet 2017 (cf. let. B.b ci-dessus), seul le dernier pouvait être attaqué immédiatement devant le Tribunal fédéral, dès lors qu'il impliquait le rejet définitif des prétentions élevées par la recourante. Tel n'était pas le cas, en revanche, des chiffres 1 et 3 du dispositif, lesquels ne faisaient que renvoyer à un stade ultérieur de la procédure, d'une part, la décision définitive à rendre au sujet des conclusions reconventionnelles prises par l'intimée (ch. 1), lors même que le Tribunal arbitral avait examiné des questions préalables de fond en rapport avec ces conclusions-là, et, d'autre part, le règlement du sort des frais et dépens de la procédure arbitrale (ch. 3). Quant au chiffre 2 du dispositif, il fixait certes définitivement le montant des honoraires et des dépenses des arbitres au 28 juillet 2017. Cependant, contrairement à ce qui prévaut dans le domaine de l'arbitrage interne (cf. art. 393 let . f CPC; RS 272), ce prononcé en tant que tel n'était pas susceptible de recours dans le cadre d'une procédure en matière d'arbitrage international.</w:t>
      </w:r>
    </w:p>
    <w:p>
      <w:r>
        <w:t>Il s'ensuit que le présent recours est d'emblée irrecevable dans la mesure où il vise à obtenir l'annulation intégrale de la sentence attaquée au lieu du seul chiffre 4 du dispositif de celle-ci, étant précisé, en ce qui concerne les décisions préjudicielles relatives aux conclusions reconventionnelles de l'intimée, que la recourante ne fait pas valoir l'un des deux seuls motifs - i.e. la composition irrégulière ( art. 190 al. 2 let. a LDIP ) et l'incompétence ( art. 190 al. 2 let. b LDIP ) du tribunal arbitral - pour lesquels de telles décisions peuvent être attaquées immédiatement devant le Tribunal fédéral ( art. 190 al. 3 LDIP ).</w:t>
      </w:r>
    </w:p>
    <w:p>
      <w:r>
        <w:rPr>
          <w:b/>
        </w:rPr>
        <w:t>E. 3.1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précédents cités).</w:t>
      </w:r>
    </w:p>
    <w:p>
      <w:r>
        <w:t>Le Tribunal fédéral, faut-il le rappeler,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comme c'était déjà le cas sous l'empire de la loi fédérale d'organisation judiciaire,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 ATF 138 III 29 consid. 2.2.1 et les arrêts cités).</w:t>
      </w:r>
    </w:p>
    <w:p>
      <w:r>
        <w:t>Au demeurant, l' art. 99 al. 1 LTF , dont l' art. 77 al. 2 LTF n'exclut pas l'application par analogie dans une procédure de recours en matière civile relative à une sentence arbitrale, proscrit les faits nouveaux et les preuves nouvelles (arrêt 4A_478/2017, précité, consid. 2.2).</w:t>
      </w:r>
    </w:p>
    <w:p>
      <w:r>
        <w:rPr>
          <w:b/>
        </w:rPr>
        <w:t>E. 3.2</w:t>
      </w:r>
    </w:p>
    <w:p>
      <w:r>
        <w:t>Considéré à la lumière de ces principes, le mémoire de recours soumis à l'examen de la Cour de céans laisse beaucoup à désirer.</w:t>
      </w:r>
    </w:p>
    <w:p>
      <w:r>
        <w:t>Ainsi en va-t-il du chapitre II de cette écriture, intitulé "Introduction aux faits établis de manière arbitraire" (p. 7/8), dans lequel la recourante énonce les six erreurs factuelles qu'elle dit avoir décelées dans les constatations de fait du Tribunal arbitral (ch. 7.1-7.5, le ch. 7.3 étant utilisé deux fois), sans craindre d'ailleurs de qualifier celles-ci d'arbitraires, grief pourtant inconnu en matière d'arbitrage international, voire simplement d'erronées, critique encore moins admissible en ce domaine.</w:t>
      </w:r>
    </w:p>
    <w:p>
      <w:r>
        <w:t>Pour le reste, la simple lecture du mémoire de recours et, plus encore, de la réplique démontre que la recourante confond le Tribunal fédéral avec une cour d'appel et qu'elle ne cherche, d'ailleurs en vain, qu'à refaire le procès devant la Cour de céans sans se croire liée, de surcroît, par les faits retenus dans la sentence entreprise. Qui plus est, le texte de ces deux écritures est parsemé d'un nombre considérable de citations en langue anglaise à tel point que l'on peut raisonnablement se demander si, en dépit des apparences, il a bien été rédigé dans une langue officielle, ainsi que l'exige l' art. 42 al. 1 LTF .</w:t>
      </w:r>
    </w:p>
    <w:p>
      <w:r>
        <w:t>Il résulte de ces observations que la recevabilité, en général, du présent recours est pour le moins sujette à caution, quand bien même il a été déposé en temps utile ( art. 100 al. 1 LTF ), compte tenu de la suspension des délais durant les féries judiciaires d'été ( art. 46 al. 1 let. b LTF ), et que la qualité pour agir de la recourante ( art. 76 al. 1 LTF ) n'est pas contestable. Sous ces réserves, il convient d'entrer en matière.</w:t>
      </w:r>
    </w:p>
    <w:p>
      <w:r>
        <w:rPr>
          <w:b/>
        </w:rPr>
        <w:t>E. 4</w:t>
      </w:r>
    </w:p>
    <w:p>
      <w:r>
        <w:t>Dans un premier moyen, la recourante, dénonçant une violation de son droit d'être entendue, reproche au Tribunal arbitral d'avoir omis de prendre en considération une série de faits déterminants sur lesquels elle avait fondé les divers arguments qu'elle lui avait soumis.</w:t>
      </w:r>
    </w:p>
    <w:p>
      <w:r>
        <w:rPr>
          <w:b/>
        </w:rPr>
        <w:t>E. 4.1.1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w:t>
      </w:r>
    </w:p>
    <w:p>
      <w:r>
        <w:t>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p. 249).</w:t>
      </w:r>
    </w:p>
    <w:p>
      <w:r>
        <w:rPr>
          <w:b/>
        </w:rPr>
        <w:t>E. 4.1.2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w:t>
      </w:r>
    </w:p>
    <w:p>
      <w:r>
        <w:t>Cette jurisprudence s'applique également,</w:t>
      </w:r>
    </w:p>
    <w:p>
      <w:r>
        <w:t>mutatis mutandis , à l'arbitrage international (arrêt 4A_247/2017 du 18 avril 2018 consid. 5.1.3). Ainsi, en plus de la violation alléguée, la partie soi-disant lésée par une inadvertance des arbitres doit démontrer, sur le vu des motifs énoncés dans la sentence attaquée, que les éléments de fait, de preuve ou de droit qu'elle avait régulièrement avancés, mais que le tribunal arbitral a omis de prendre en considération, étaient de nature à influer sur le sort du litige ( ATF 142 III 360 consid. 4.1.3 et l'arrêt cité). De même, le recourant qui se prétend victime d'une inégalité de traitement par rapport à son adverse partie ou qui soutient que le tribunal arbitral a méconnu le principe de la contradiction doit, à tout le moins, tenter de démontrer en quoi l'issue du procès aurait pu être différente si les violations alléguées de son droit d'être entendu n'avaient pas été commises (arrêt 4A_592/2017 du 5 décembre 2017 consid. 4.1.2).</w:t>
      </w:r>
    </w:p>
    <w:p>
      <w:r>
        <w:rPr>
          <w:b/>
        </w:rPr>
        <w:t>E. 4.2</w:t>
      </w:r>
    </w:p>
    <w:p>
      <w:r>
        <w:t>La violation alléguée du droit d'être entendu de la recourante concerne les quatre points examinés ci-après.</w:t>
      </w:r>
    </w:p>
    <w:p>
      <w:r>
        <w:rPr>
          <w:b/>
        </w:rPr>
        <w:t>E. 4.2.1</w:t>
      </w:r>
    </w:p>
    <w:p>
      <w:r>
        <w:t>L'objet de la livraison par B.________</w:t>
      </w:r>
    </w:p>
    <w:p>
      <w:r>
        <w:t>Sous ce titre, la recourante expose qu'elle avait soutenu, dans ses écritures finales, que le contenu du contrat devait être séparé en deux phases distinctes: la première, qui relevait exclusivement du contrat de vente selon elle, comprenait la production, puis la livraison, du</w:t>
      </w:r>
    </w:p>
    <w:p>
      <w:r>
        <w:t>B.B.________ - à savoir, le véhicule A et la cabine n° 2 -, tel que testé en Autriche, aux dates prévues à l'art. 4.9 du contrat; la seconde phase consistait en l'assemblage de l'objet de la livraison de B.________ avec l'objet de la livraison de A.________, soit la cabine du personnel et la plateforme, pour en faire une machine complète. Selon la recourante, il importait peu de qualifier juridiquement les obligations des parties liées à cette seconde phase - elles pouvaient ressortir à un contrat d'entreprise ou à un contrat mixte - car le litige portait uniquement sur la question de savoir si l'intimée avait violé son obligation de livrer, afférente à la première phase, que lui imposait l'art. 4.9 du contrat. Or, toujours aux dires de la recourante, le Tribunal arbitral aurait procédé à la qualification du contrat en droit suisse en prenant pour base la machine complète, entièrement assemblée, résultant de l'addition de l'objet de la livraison par B.________ et de l'objet de la livraison par A.________. Il l'aurait fait sans réfuter la thèse des deux phases distinctes soutenue par A.________, si bien que son raisonnement s'en serait trouvé biaisé. En effet, eût-il focalisé son attention sur la première phase uniquement, il se fût alors avisé de ce que le contrat litigieux était une vente, au sens des art. 184 ss CO , pour laquelle les parties avaient adopté des modalités rigoureuses en cas de demeure de la venderesse, et il eût alors admis que la recourante avait le droit de se départir unilatéralement du contrat le 12 décembre 2014.</w:t>
      </w:r>
    </w:p>
    <w:p>
      <w:r>
        <w:t>Le Tribunal arbitral rétorque qu'il a analysé la qualification du contrat et, singulièrement, celle de l'obligation principale de livrer la "machine" au sens de l'art. 4.9 du contrat sous n. 232-245 de sa sentence et qu'il est arrivé à la conclusion, sur la base de cette obligation principale, que le contrat devait être qualifié, non pas de contrat de vente, mais bien de contrat d'entreprise. Il assure, en outre, avoir pris en compte et implicitement rejeté dans cette analyse l'argument tiré des deux phases distinctes, dont la première consistait censément dans la livraison d'un produit standard à une date précise, puisqu'il a considéré que la "machine" n'était pas standardisée et que l'obligation de livrer au sens de l'art. 4.9 du contrat n'était pas typique d'une vente.</w:t>
      </w:r>
    </w:p>
    <w:p>
      <w:r>
        <w:t>L'examen des passages topiques de la sentence, mis en évidence par le Tribunal arbitral, démontre effectivement que la solution juridique retenue dans la sentence ne peut qu'impliquer le rejet implicite de la thèse des deux phases, laquelle n'est d'ailleurs apparue qu'</w:t>
      </w:r>
    </w:p>
    <w:p>
      <w:r>
        <w:t>in fine litis dans l'argumentaire de la recourante, comme l'intimée le souligne dans sa réponse au recours (n. 24-32). Au demeurant, la recourante n'établit pas de manière suffisante, sous n. 26 de son mémoire, en quoi la solution juridique du problème de la demeure de l'intimée eût été différente si sa thèse avait été retenue par les arbitres. A cet égard, le renvoi global, effectué par elle sous n. 21 de son recours, aux paragraphes 6 à 55 de son mémoire après enquêtes, sans autre précision, apparaît manifestement insuffisant du point de vue de la motivation d'un recours en matière civile. Quant à sa tentative de compléter le moyen en question dans sa réplique, en invoquant des déclarations faites par le dénommé C.________ durant les audiences préparatoires et en faisant état d'une prétendue contradiction dans l'argumentation du Tribunal arbitral, elle est d'emblée vouée à l'échec.</w:t>
      </w:r>
    </w:p>
    <w:p>
      <w:r>
        <w:rPr>
          <w:b/>
        </w:rPr>
        <w:t>E. 4.2.2</w:t>
      </w:r>
    </w:p>
    <w:p>
      <w:r>
        <w:t>L'influence de A.________ sur le contenu de la commande</w:t>
      </w:r>
    </w:p>
    <w:p>
      <w:r>
        <w:t>Sous n. 244 de sa sentence partielle, le Tribunal arbitral, après avoir procédé à une appréciation des preuves entrant en ligne de compte (sentence, n. 232 ss), a constaté que B.________ était tenue contractuellement de fabriquer les machines, que les machines étaient produites en fonction des besoins spécifique de A.________, que la société russe était en mesure d'influer sur le processus de production des machines et de donner des instructions, enfin que B.________ n'aurait pas produit les machines si elle n'avait pas passé le contrat avec A.________. Sur la base de ces constatations, les arbitres ont qualifié le contrat de contrat d'entreprise. L'un des éléments, parmi d'autres, sur lequel ils se sont fondés pour procéder à ces constatations-là a été tiré du texte des art. 5.1 et 5.2 du contrat où il est fait obligation à l'intimée de consulter la recourante pour la fabrication des machines selon les standards russes et de prendre en considération dans toute la mesure du possible les souhaits exprimés ainsi que les propositions formulées par A.________.</w:t>
      </w:r>
    </w:p>
    <w:p>
      <w:r>
        <w:t>Selon la recourante, le Tribunal arbitral aurait retenu à tort l'existence d'une possible influence de A.________ sur le processus de production dès lors que, pour elle, l'art. 5.1 du contrat ne ferait que mentionner l'assistance technique, voire une consultation, et non pas une influence, alors que l'art. 5.2 ne prévoit la possibilité d'émettre des voeux que pour les machines produites après la machine n° 1. A son avis, le Tribunal arbitral aurait ainsi "procédé à une appréciation erronée des moyens de preuve", la privant par là même de son droit d'être entendue.</w:t>
      </w:r>
    </w:p>
    <w:p>
      <w:r>
        <w:t>Le moyen est dénué de tout fondement. Non seulement l'interprétation que donne la recourante des art. 5.1 et 5.2 du contrat est discutable, mais, qui plus est, il ne s'agit là que d'un élément parmi ceux que le Tribunal arbitral a retenus pour poser les susdites constatations.</w:t>
      </w:r>
    </w:p>
    <w:p>
      <w:r>
        <w:t>En réalité, la recourante confond derechef le Tribunal fédéral avec une cour d'appel lorsqu'elle lui demande de sanctionner l'interprétation prétendument erronée que les arbitres auraient faite des deux clauses du contrat susmentionnées.</w:t>
      </w:r>
    </w:p>
    <w:p>
      <w:r>
        <w:t>Pour le reste, le grief considéré ne consiste qu'en la remise en cause, inadmissible, de l'appréciation des preuves dont sont issues les constatations précitées.</w:t>
      </w:r>
    </w:p>
    <w:p>
      <w:r>
        <w:rPr>
          <w:b/>
        </w:rPr>
        <w:t>E. 4.2.3</w:t>
      </w:r>
    </w:p>
    <w:p>
      <w:r>
        <w:t>R-107</w:t>
      </w:r>
    </w:p>
    <w:p>
      <w:r>
        <w:t>Sous cette référence chiffrée, la recourante a annexé à son mémoire de recours, en tant que pièce n° 7, un extrait du tableau de correspondance dans lequel figurent notamment les entrées 153/39, 320/97 et 380/135. Selon elle, le Tribunal arbitral, sous n. 182 de la sentence attaquée ("On November 22, 2014 A.________ made an entry into the Correspondence Chart, setting forth the details for commissioning and personnel training. The information was largely the same as that which had been previously provided in the Correspondence Chart on May 2, 2013 as well as on February 6, 2014."), aurait commis trois erreurs factuelles relativement à cette pièce: premièrement, il aurait admis que l'entrée 380/135 avait été faite par A.________, alors que c'était B.________ qui l'avait introduite dans le tableau de correspondance; deuxièmement, il se serait trompé en retenant que ladite entrée se référait à la formation du personnel; troisièmement, il aurait constaté faussement que l'entrée 380/135 était, pour l'essentiel, identique aux entrées précédentes, 153/39 et 320/97. A suivre la recourante, ces erreurs auraient influé négativement sur la réponse donnée par le Tribunal arbitral à la question qu'il s'était posée sous n. 293 de sa sentence ("</w:t>
      </w:r>
    </w:p>
    <w:p>
      <w:r>
        <w:t>What the parties meant by</w:t>
      </w:r>
    </w:p>
    <w:p>
      <w:r>
        <w:t>"functionality testing"? "). Et l'intéressée d'en déduire, en citant un long passage en anglais de ses écritures finales (recours, n. 40), que, si ces erreurs n'avaient pas été commises, elle aurait pu faire prévaloir sa thèse voulant que la machine n° 1 n'avait pas encore été livrée, lorsqu'elle-même avait résolu le contrat, le 12 décembre 2014, étant donné que les parties s'étaient entendues, en cours d'exécution du contrat, pour en modifier les termes en ce sens qu'un nouveau test de fonctionnement devait être effectué après le remontage, en Russie, du véhicule A qui avait été démonté en Autriche avant son expédition.</w:t>
      </w:r>
    </w:p>
    <w:p>
      <w:r>
        <w:t>Si l'on excepte la première erreur, laquelle constitue un</w:t>
      </w:r>
    </w:p>
    <w:p>
      <w:r>
        <w:t>lapsus calami que le Tribunal arbitral reconnaît avoir commis, mais qui n'a manifestement pas porté à conséquence, les autres erreurs, fermement contestées par le Tribunal arbitral, ne résulteraient que d'une appréciation prétendument arbitraire des éléments de preuve pertinents, en particulier de la pièce R-107, puisqu'aussi bien c'est sous ce titre que la recourante les présente dans son mémoire (recours, n. 7; cf. consid. 3.2, 2e par. ci-dessus). Or, il est manifeste, à la lecture de cette écriture et, plus encore, de la réplique, que, sous le couvert du grief de violation du droit d'être entendu, l'intéressée cherche à remettre en cause la manière dont le Tribunal arbitral a constaté les faits pertinents et, indirectement, les conclusions juridiques qu'il a tirées à partir des faits retenus par lui. Il va sans dire que tel n'est pas l'objet du recours en matière d'arbitrage en général, non plus que du grief fondé sur l' art. 190 al. 2 let . d LDIP en particulier. Comme le souligne BERNARD CORBOZ, la porte ouverte par la jurisprudence concernant le devoir minimum du tribunal arbitral d'examiner et de traiter les problèmes pertinents est étroite. Ce n'est que si un point de fait ou de droit invoqué par l'une des parties apparaît incontournable pour la décision à rendre et qu'il reste purement et simplement ignoré dans la motivation de la sentence, sans que l'on puisse comprendre pourquoi, qu'il faut admettre que le droit d'être entendu a été vidé de sa substance, en ce sens que le Tribunal arbitral n'a tout simplement pas statué sur le litige tel qu'il lui était présenté (Commentaire de la LTF, 2e éd. 2014, n° 146 ad art. 77 LTF ).</w:t>
      </w:r>
    </w:p>
    <w:p>
      <w:r>
        <w:t>Il n'est pas question de cela en l'espèce. En effet, comme il ressort des passages de sa décision mentionnés par le Tribunal arbitral lui-même dans ses observations sur le recours (p. 2, dernier par., avec renvoi aux n. 286-307 et 377-385 de la sentence) et, plus encore, de la démonstration convaincante proposée par l'intimée dans sa réponse au recours (n. 50-68), le Tribunal arbitral a examiné sous toutes ses coutures la question - déterminante pour l'application de la clause 9.2 du contrat touchant la demeure du débiteur - de la date de livraison du</w:t>
      </w:r>
    </w:p>
    <w:p>
      <w:r>
        <w:t>B.B.________ en rapport avec le test de fonctionnement prévu à l'art. 4.9 du contrat.</w:t>
      </w:r>
    </w:p>
    <w:p>
      <w:r>
        <w:t>Si tant est qu'il soit recevable, le recours apparaît, dès lors, manifestement mal fondé sur ce point.</w:t>
      </w:r>
    </w:p>
    <w:p>
      <w:r>
        <w:rPr>
          <w:b/>
        </w:rPr>
        <w:t>E. 4.2.4</w:t>
      </w:r>
    </w:p>
    <w:p>
      <w:r>
        <w:t>L'interpellation</w:t>
      </w:r>
    </w:p>
    <w:p>
      <w:r>
        <w:t>Sous n. 435 à 437 de sa sentence, le Tribunal arbitral a examiné si la recourante avait adressé à l'intimée une interpellation, au sens de l' art. 102 al. 1 CO , pour la mettre en demeure. Il y a répondu par la négative en relevant, d'une part, que l'intéressée n'avait pas démontré ni même allégué l'avoir fait et, d'autre part, que le dossier de l'arbitrage ne contenait pas la moindre pièce susceptible d'être interprétée comme une interpellation (sentence, n. 436: "A.________ has neither alleged nor demonstrated that it ever provided such a reminder, nor is there any evidence on record that could possibly be interpreted as such..."). La recourante objecte que la pièce du dossier R-39, produite par elle comme annexe 9 à son mémoire, établirait bel et bien l'existence d'une interpellation. Dès lors, à ses yeux, le Tribunal arbitral aurait violé son droit d'être entendue en ne tenant pas compte de cet élément de preuve.</w:t>
      </w:r>
    </w:p>
    <w:p>
      <w:r>
        <w:t>Le moyen est dénué de tout fondement. Non seulement la pièce en question n'a rien à voir avec une interpellation, mais encore la recourante ne saurait reprocher au Tribunal arbitral de ne pas l'avoir prise en considération, étant donné qu'elle n'avait même pas allégué avoir procédé à une telle démarche auprès de l'intimée. Il va sans dire, d'ailleurs, que, dans une procédure qui n'était pas régie par la maxime d'office, le Tribunal arbitral ne saurait se voir reprocher de ne pas avoir recherché</w:t>
      </w:r>
    </w:p>
    <w:p>
      <w:r>
        <w:t>sua sponte , dans le dossier de la cause, la preuve d'une démarche que son prétendu auteur n'avait même pas allégué avoir effectuée.</w:t>
      </w:r>
    </w:p>
    <w:p>
      <w:r>
        <w:t>Quoi qu'il en soit, comme le Tribunal arbitral le souligne dans ses observations (p.3), sans être contredit par l'intéressée, il a retenu, dans sa sentence partielle (n. 461), que, même dans l'hypothèse où une interpellation valable aurait eu lieu, la dénonciation du contrat par la recourante le 12 décembre 2017 (</w:t>
      </w:r>
    </w:p>
    <w:p>
      <w:r>
        <w:t>recte : 2014), sur la base de l'art. 9.2 du contrat, n'en eût pas moins été invalide parce que l'intimée n'était déjà plus en demeure à cette date-là. On est en présence d'une motivation subsidiaire, suffisante en soi pour étayer la décision du Tribunal arbitral de ne pas admettre la validité de cette dénonciation, motivation subsidiaire que la recourante ne prétend pas avoir attaquée, ce qui entraîne l'irrecevabilité d'un grief au demeurant sans espoir (arrêt 4A_342/2015 du 26 avril 2016 consid. 2.2.1).</w:t>
      </w:r>
    </w:p>
    <w:p>
      <w:r>
        <w:t>En définitive, le moyen pris de la violation du droit d'être entendu de la recourante se révèle infondé pour le tout dans la faible mesure de sa recevabilité.</w:t>
      </w:r>
    </w:p>
    <w:p>
      <w:r>
        <w:rPr>
          <w:b/>
        </w:rPr>
        <w:t>E. 5</w:t>
      </w:r>
    </w:p>
    <w:p>
      <w:r>
        <w:t>En dernier lieu, la recourante soutient que la sentence attaquée est incompatible avec l'ordre public matériel au sens de l' art. 190 al. 2 let . e LDIP et de la jurisprudence y relative, plus précisément avec le principe de la fidélité contractuelle.</w:t>
      </w:r>
    </w:p>
    <w:p>
      <w:r>
        <w:rPr>
          <w:b/>
        </w:rPr>
        <w:t>E. 5.1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t>Le principe de la fidélité contractuelle,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 4A_450/2017 du 12 mars 2018 consid. 5.1).</w:t>
      </w:r>
    </w:p>
    <w:p>
      <w:r>
        <w:rPr>
          <w:b/>
        </w:rPr>
        <w:t>E. 5.2</w:t>
      </w:r>
    </w:p>
    <w:p>
      <w:r>
        <w:t>En l'espèce, le Tribunal arbitral a jugé que la recourante n'avait pas valablement résolu le contrat et il en a tiré les conclusions qui s'imposaient en rejetant les conclusions de cette partie fondées sur la thèse inverse. Ce faisant, il n'a nullement porté atteinte au principe de la fidélité contractuelle, au sens particulier que la jurisprudence attribue à cette notion. D'où il suit que la tentative de la recourante de remettre en cause les considérations émises par les arbitres à l'appui de la solution juridique retenue par eux est d'emblée vouée à l'échec.</w:t>
      </w:r>
    </w:p>
    <w:p>
      <w:r>
        <w:rPr>
          <w:b/>
        </w:rPr>
        <w:t>E. 6</w:t>
      </w:r>
    </w:p>
    <w:p>
      <w:r>
        <w:t>La recourante, qui succombe, sera condamnée à payer les frais de la procédure fédérale ( art. 66 al. 1 LTF ) et à verser à l'intimée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