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4A_490/2024 vom 13. Januar 2025</w:t>
      </w:r>
    </w:p>
    <w:p>
      <w:r>
        <w:t>Bundesgericht, 2025-01-13, DE</w:t>
      </w:r>
    </w:p>
    <w:p>
      <w:r>
        <w:rPr>
          <w:b/>
        </w:rPr>
        <w:t xml:space="preserve">Quelle: </w:t>
      </w:r>
      <w:r>
        <w:t>https://mcp.opencaselaw.ch/entscheid/bger_4A_490_2024</w:t>
      </w:r>
    </w:p>
    <w:p>
      <w:r>
        <w:t>FR: TF 4A_490/2024 du 13 janvier 2025</w:t>
      </w:r>
    </w:p>
    <w:p>
      <w:r>
        <w:t>IT: TF 4A_490/2024 del 13 gennaio 2025</w:t>
      </w:r>
    </w:p>
    <w:p>
      <w:pPr>
        <w:pStyle w:val="Heading2"/>
      </w:pPr>
      <w:r>
        <w:t>Erwägungen</w:t>
      </w:r>
    </w:p>
    <w:p>
      <w:r>
        <w:rPr>
          <w:b/>
        </w:rPr>
        <w:t>E. 1</w:t>
      </w:r>
    </w:p>
    <w:p>
      <w:r>
        <w:t>Das Bundesgericht prüft von Amtes wegen und mit freier Kognition, ob ein Rechtsmittel zulässig ist ( Art. 29 Abs. 1 BGG ; BGE 150 III 248 E. 1; 149 III 277 E. 3.1).</w:t>
      </w:r>
    </w:p>
    <w:p>
      <w:r>
        <w:t>Die Beschwerde betrifft eine Zivilsache ( Art. 72 BGG ) und richtet sich gegen den Endentscheid ( Art. 90 BGG ) eines oberen kantonalen Gerichts, das als Rechtsmittelinstanz entschieden hat ( Art. 75 Abs. 2 BGG ). Die Beschwerdeführerin ist mit ihren Anträgen unterlegen ( Art. 76 Abs. 1 BGG ), und der Streitwert ist erreicht ( Art. 74 Abs. 1 lit. b BGG ). Die Beschwerdefrist ist eingehalten ( Art. 100 Abs. 1 BGG ).</w:t>
      </w:r>
    </w:p>
    <w:p>
      <w:r>
        <w:t>Auf die Beschwerde ist einzutreten, allerdings unter Vorbehalt hinreichender Begründung ( Art. 42 Abs. 2 und Art. 106 Abs. 2 BGG ).</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142 III 402 E. 2.6; 140 III 115 E. 2; 137 III 580 E. 1.3).</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148 IV 205 E. 2.6; 140 III 86 E. 2, 115 E. 2). 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148 V 366 E. 3.3;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144 V 50 E. 4.1;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Die Beschwerdeführerin verkennt diese Anforderungen über weite Strecken. Anstatt präzise anhand der vorinstanzlichen Erwägungen aufzuzeigen, inwiefern das angefochtene Urteil Bundesrecht verletzt, nimmt sie ihre Vorwürfe einer Verletzung von Art. 17 und Art. 18 OR sowie von Art. 29 Abs. 2 BV und Art. 53 Abs. 1 ZPO bloss zum Aufhänger, um dem Bundesgericht ihre eigene Sicht der Dinge zu unterbreiten, als ob das Bundesgericht den Rechtsstreit von Grund auf neu beurteilen könnte. Solche unzureichend begründete Kritik kann nicht gehört werden (vgl. E. 2.1).</w:t>
      </w:r>
    </w:p>
    <w:p>
      <w:r>
        <w:t>Die Beschwerdeführerin weicht sodann in tatsächlicher Hinsicht in frei gehaltenen Darlegungen mehrfach vom vorinstanzlich festgestellten Sachverhalt ab oder geht darüber hinaus, ohne (hinreichende) Sachverhaltsrügen zu erheben (vgl. E. 2.2). Darauf kann von vornherein nicht abgestellt werden.</w:t>
      </w:r>
    </w:p>
    <w:p>
      <w:r>
        <w:t>Auf die Beschwerde ist daher nur insoweit einzutreten, als hinlängliche Rechtsrügen erkennbar sind, wobei durchwegs die verbindlichen Feststellungen im angefochtenen Entscheid zugrunde gelegt werden.</w:t>
      </w:r>
    </w:p>
    <w:p>
      <w:r>
        <w:rPr>
          <w:b/>
        </w:rPr>
        <w:t>E. 3</w:t>
      </w:r>
    </w:p>
    <w:p>
      <w:r>
        <w:t>Die Vorinstanz qualifizierte die Vereinbarung vom 3./4. Dezember 1991 als Schuldanerkennung und erachtete die eingeklagte Forderung mit Einreichung derselben als ausgewiesen. Jedoch sei sie offensichtlich verjährt. Die Beschwerde richtet sich gegen die Bejahung der Verjährung.</w:t>
      </w:r>
    </w:p>
    <w:p>
      <w:r>
        <w:rPr>
          <w:b/>
        </w:rPr>
        <w:t>E. 3.1</w:t>
      </w:r>
    </w:p>
    <w:p>
      <w:r>
        <w:t>Im kantonalen Verfahren hatte sich die Beschwerdeführerin für ihren Standpunkt, die Verjährung sei nicht eingetreten, in erster Linie darauf berufen, dem Schuldbekenntnis des Beschwerdegegners liege ein deliktisches Zusammenwirken des Beschwerdegegners und von E.________ zugrunde. Damit werde eine solidarische Haftbarkeit zwischen den beiden Schuldnern begründet, was dazu führe, dass die Verjährung jeweils mit Wirkung gegenüber allen Solidarschuldnern rechtzeitig unterbrochen worden sei. Eventualiter machte sie geltend, die Parteien hätten für die Fälligkeit der monatlichen Zahlungen jeweils den ersten jedes Monats vereinbart. Daher laufe für jede fällige Mindestrückzahlung eine eigene Verjährungsfrist. Mit der Betreibung im Dezember 2017 auf rund Fr. 3'060'000.--, was in der Summe den fälligen Mindestrückzahlungen für die Monate Juli 1992 bis Dezember 2017 (306 Monate) entsprochen habe, habe sie die Verjährung für die ab 20. Dezember 2007 (d.h. vereinfacht gerechnet ab 1. Januar 2008) fällig gewordenen Forderungen unterbrochen. Dieser Ausstand betrage Fr. 1'870'000.-- nebst Zins von 6 % ab dem jeweiligen Verfallsdatum. Eine fällige und nicht verjährte Forderung von Fr. 50'000.-- sei daher in jedem Fall ausgewiesen. Abgesehen davon habe der Beschwerdegegner ohnehin auf sämtliche Einreden aus dem Grundverhältnis verzichtet.</w:t>
      </w:r>
    </w:p>
    <w:p>
      <w:r>
        <w:t>Die Vorinstanz verwarf mit überzeugenden Ausführungen alle diese Einwände. Was die Beschwerdeführerin ihnen entgegenhält, vermag keine Bundesrechtswidrigkeit auszuweisen:</w:t>
      </w:r>
    </w:p>
    <w:p>
      <w:r>
        <w:rPr>
          <w:b/>
        </w:rPr>
        <w:t>E. 3.2</w:t>
      </w:r>
    </w:p>
    <w:p>
      <w:r>
        <w:t>Vor Bundesgericht hält die Beschwerdeführerin nicht mehr an ihrem Standpunkt fest, zufolge eines deliktischen Zusammenwirkens des Beschwerdegegners mit E.________ liege eine solidarische Haftung vor, was sich auf die Verjährungsunterbrechung auswirke. Zu Recht. Gemäss Vorinstanz hat die Beschwerdeführerin für das bloss allgemein erwähnte "deliktische Zusammenwirken" weder schlüssige Behauptungen aufgestellt noch Belege eingereicht. Damit muss eine solidarische Haftung von vornherein entfallen.</w:t>
      </w:r>
    </w:p>
    <w:p>
      <w:r>
        <w:rPr>
          <w:b/>
        </w:rPr>
        <w:t>E. 3.3</w:t>
      </w:r>
    </w:p>
    <w:p>
      <w:r>
        <w:t>Als neuer Hauptstandpunkt beruft sich die Beschwerdeführerin vor Bundesgericht nunmehr auf einen angeblichen Einredeverzicht des Beschwerdegegners. Sie will in Auslegung der Vereinbarung vom 3./4. Dezember 1991 eine einredeabstrakte Schuldanerkennung in dem Sinne erkennen, dass der Beschwerdegegner mit der Unterzeichnung dieser Vereinbarung "aufgrund der Umstände und nach Treu und Glauben generell" auf jegliche Einreden und Einwendungen aus dem Grundverhältnis und namentlich auf die Einrede der Verjährung verzichtet haben soll. Dem kann nicht gefolgt werden.</w:t>
      </w:r>
    </w:p>
    <w:p>
      <w:r>
        <w:t>Zum einen beruht ihre diesbezügliche Argumentation weitgehend auf einer unzulässigen Ergänzung des verbindlich festgestellten Sachverhalts der Vorinstanz (vgl. E. 2.2) und vermag daher schon aus diesem Grund nicht durchzudringen.</w:t>
      </w:r>
    </w:p>
    <w:p>
      <w:r>
        <w:t>Darüber hinaus verfängt sie auch in rechtlicher Hinsicht nicht. Mit einer Schuldanerkennung erklärt der Anerkennende dem Anerkennungsempfänger, dass er ihm gegenüber eine Schuld hat. Es handelt sich also um eine rechtsgeschäftliche Erklärung. Der Schuldner kann sich grundsätzlich auf sämtliche Einreden und Einwendungen (Erfüllung, Nichterfüllung, Verjährung etc.) berufen, die sich gegen die anerkannte Schuld richten ( BGE 131 III 268 E. 3.2). Nur ausnahmsweise ist mit der Schuldanerkennung eine zusätzliche Abrede verbunden, dass der Schuldner bezüglich der anerkannten Schuld auf bestimmte Einreden verzichte. Ein solcher Einredeverzicht ist nicht leichthin anzunehmen und muss eindeutig sein, da er für den Schuldner von grosser Tragweite ist ( BGE 65 II 66 E. 8b; Urteil 5A_409/2020 vom 23. April 2021 E. 3.2). Ein Einredeverzicht muss mithin ausdrücklich erfolgen oder sich aus den Umständen unzweifelhaft ergeben (Urteile 4A_147/2014 vom 19. November 2014 E. 4.4.1; 4A_459/2013 vom 22. Januar 2014 E. 3.3; Christoph Müller, in: Berner Kommentar, 2018, N. 70 f. zu Art. 17 OR ; Schwenzer/Fountoulakis, in: Basler Kommentar, Obligationenrecht, 7. Aufl. 2020, N. 11 zu Art. 17 OR ). Dabei obliegt der Beweis, dass der Schuldner auf sämtliche oder gewisse Einreden verzichtet hat, der Gläubigerin (Urteil 4A_147/2014 vom 19. November 2014 E. 4.4.1; Müller, a.a.O., N. 76 zu Art. 17 OR ; Schwenzer/ Fountoulakis, a.a.O., N. 14 zu Art. 17 OR ).</w:t>
      </w:r>
    </w:p>
    <w:p>
      <w:r>
        <w:t>Vorliegend kann nicht von einem Einredeverzicht ausgegangen werden. Dass der Beschwerdegegner ausdrücklich auf die Einrede der Verjährung verzichtet hätte, behauptet die Beschwerdeführerin nicht. Sie hat aber auch nicht bewiesen, dass sich ein Einredeverzicht eindeutig aus den Umständen ergibt. Im Gegenteil, die Vorinstanz stellte verbindlich fest, es bestünden keine Anhaltspunkte für einen Einredeverzicht. Solche Anhaltspunkte hätte die Beschwerdeführerin prozesskonform behaupten und beweisen müssen, woran es gemäss Vorinstanz mangelt. Diese Feststellung weist die Beschwerdeführerin nicht als willkürlich aus. Entsprechend kann der Beschwerde in diesem Punkt kein Erfolg beschieden sein.</w:t>
      </w:r>
    </w:p>
    <w:p>
      <w:r>
        <w:rPr>
          <w:b/>
        </w:rPr>
        <w:t>E. 3.4</w:t>
      </w:r>
    </w:p>
    <w:p>
      <w:r>
        <w:t>Dies gilt auch für die Vorbringen der Beschwerdeführerin betreffend die Stundungsvereinbarung in der Schuldanerkennung. Wie die Vorinstanz zutreffend ausführte, bezieht sich diese lediglich auf die Anerkennungsschuld und nicht zugleich auch auf das Grundverhältnis. Dem scheint nunmehr auch die Beschwerdeführerin zuzustimmen. Sie beharrt aber auf ihrer Auffassung, aufgrund der Stundungsvereinbarung sei keine Verjährung der Anerkennungsschuld (mindestens in Höhe der eingeklagten Fr. 50'000.--) eingetreten. Denn für jede der ab 1. April 1992 vereinbarten monatlichen Mindestrückzahlungen von Fr. 10'000.-- beginne jeweils am Tag der Fälligkeit, d.h. am ersten Kalendertag eines Monats, die zehnjährige Verjährungsfrist separat zu laufen.</w:t>
      </w:r>
    </w:p>
    <w:p>
      <w:r>
        <w:t>Daran ist so viel richtig, dass die Verjährung erst zu laufen beginnt, wenn die Forderung fällig ist ( Art. 130 Abs. 1 OR ). Fälligkeit bedeutet, dass der Gläubiger die Leistung verlangen kann. Ab diesem Zeitpunkt läuft die Verjährung. Dies war für die ganze Anerkennungsschuld spätestens mit Ablauf der Stundung per 1. April 1992 der Fall. Die Vereinbarung von Mindestrückzahlungen von Fr. 10'000.-- pro Monat kann nicht im Sinne der Beschwerdeführerin interpretiert werden. Denn wie die Vorinstanz zutreffend ausführte, hätte die Auffassung der Beschwerdeführerin, dass für jede fällige Mindestrückzahlung eine eigene Verjährungsfrist laufe, zur Folge, dass der Beschwerdegegner für die Dauer von knapp 110 Jahren (zumindest teilweise) auf die Verjährungseinrede verzichtet hätte. Ein solcher Verzicht wäre unzulässig, da ein Verjährungsverzicht nicht für eine Dauer ausgesprochen werden darf, welche die ordentliche gesetzliche Frist von zehn Jahren nach Art. 127 OR überschreitet ( BGE 132 III 226 E. 3.3.8; Urteil 4A_221/2010 vom 12. Januar 2012 E. 3). Der Auffassung der Beschwerdeführerin kann daher nicht gefolgt werden, und das angefochtene Urteil erweist sich auch in diesem Punkt als bundesrechtskonform.</w:t>
      </w:r>
    </w:p>
    <w:p>
      <w:r>
        <w:rPr>
          <w:b/>
        </w:rPr>
        <w:t>E. 3.5</w:t>
      </w:r>
    </w:p>
    <w:p>
      <w:r>
        <w:t>Im Eventualstandpunkt vertritt die Beschwerdeführerin die Meinung, der eingeklagte Anspruch sei selbst dann nicht verjährt, wenn die Schuldanerkennung nicht einredeabstrakt zum Grundverhältnis sei. Ihre diesbezüglichen Ausführungen sind nicht einfach nachzuvollziehen. Im Kern scheint sie damit geltend zu machen, der Beschwerdegegner habe die Einrede der Verjährung in Bezug auf die Schuld aus dem Grundverhältnis nie prozesskonform erhoben, weshalb die Vorinstanz Art. 55 ZPO verletzt habe.</w:t>
      </w:r>
    </w:p>
    <w:p>
      <w:r>
        <w:t>Diese Argumentation scheitert bereits an den verbindlichen Feststellungen der Vorinstanz, wonach der Beschwerdegegner schon im Schreiben vom 19. Oktober 2017 an die Beschwerdeführerin ausführte, die von ihr geltend gemachte Forderung sei verjährt, und der Beschwerdegegner die Einrede der Verjährung erhoben habe. Eine Limitierung auf die Anerkennungsschuld ergibt sich daraus nicht. Mangels (hinreichender) Sachverhaltsrüge ist damit der Beschwerde auch in diesem Punkt der Boden entzogen. Im Übrigen belegt die Beschwerdeführerin nicht, im kantonalen Verfahren je behauptet zu haben, es mangle an der Verjährungseinrede. Diese Behauptung ist daher nicht nur unzutreffend, sondern auch unzulässig ( Art. 99 Abs. 1 BGG ).</w:t>
      </w:r>
    </w:p>
    <w:p>
      <w:r>
        <w:rPr>
          <w:b/>
        </w:rPr>
        <w:t>E. 4</w:t>
      </w:r>
    </w:p>
    <w:p>
      <w:r>
        <w:t>Die Besc 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