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490/2016 vom 6. März 2017</w:t>
      </w:r>
    </w:p>
    <w:p>
      <w:r>
        <w:t>Bundesgericht, 2017-03-06, DE</w:t>
      </w:r>
    </w:p>
    <w:p>
      <w:r>
        <w:rPr>
          <w:b/>
        </w:rPr>
        <w:t xml:space="preserve">Quelle: </w:t>
      </w:r>
      <w:r>
        <w:t>https://mcp.opencaselaw.ch/entscheid/bger_4A_490_2016</w:t>
      </w:r>
    </w:p>
    <w:p>
      <w:r>
        <w:t>FR: TF 4A 490/2016 du 6 mars 2017</w:t>
      </w:r>
    </w:p>
    <w:p>
      <w:r>
        <w:t>IT: TF 4A 490/2016 del 6 marzo 2017</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2.2</w:t>
      </w:r>
    </w:p>
    <w:p>
      <w:r>
        <w:t>Beim angefochtenen Schiedsentscheid handelt es sich um einen Zwischenentscheid ( BGE 140 III 520 E. 2.2). Dieser kann nach Art. 190 Abs. 3 IPRG mit Beschwerde in Zivilsachen angefochten werden ( BGE 130 III 76 E. 3.1.3, E. 3.2.1 S. 80). Das Bundesgericht prüft die Zuständigkeitsrüge nach Art. 190 Abs. 2 lit. b IPRG in rechtlicher Hinsicht frei, einschliesslich materieller Vorfragen, von deren Beantwortung die Zuständigkeit abhängt ( BGE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 Die Beschwerde gegen einen Zwischenschiedsspruch wegen fehlender Zuständigkeit des Schiedsgerichts ( Art. 190 Abs. 2 lit. b IPRG ) ist vom Bundesgericht auf Grundlage von schiedsgerichtlichen Sachverhaltsfeststellungen zu beurteilen, die allfälligen Vorwürfen einer Verletzung fundamentaler Verfahrensrechte standhalten. Im Rahmen einer solchen Beschwerde können daher auch die weiteren Rügen nach Art. 190 Abs. 2 IPRG erhoben werden, sofern sie unmittelbar die Zuständigkeit des Schiedsgerichts betreffen ( BGE 140 III 477 E. 3.1, 520 E. 2.2.3 S. 525).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Daraus folgt jedoch keine Obliegenheit der beschwerdeführenden Partei, einen entsprechenden Antrag zu stellen. Entgegen der Ansicht der Beschwerdegegnerin ist der Antrag der Beschwerdeführerinnen auf blosse Aufhebung des angefochtenen Zuständigkeitsentscheids daher zulässig.</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Beschwerdeführerinnen in ihrer Replik darüber hinausgehen, können ihre Ausführungen nicht berücksichtigt werden.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2.6</w:t>
      </w:r>
    </w:p>
    <w:p>
      <w:r>
        <w:t>Die Beschwerdeführerinnen verkennen diese Grundsätze, wenn sie ihren rechtlichen Vorbringen eine ausführliche Sachverhaltsdarstellung voranstellen, in der sie die Hintergründe des Rechtsstreits und den Ablauf des Schiedsverfahrens aus eigener Sicht schildern und dabei verschiedentlich von den tatsächlichen Feststellungen des Schiedsgerichts abweichen oder diese erweitern, ohne substanziiert Ausnahmen von der Sachverhaltsbindung geltend zu machen. Sie schildern etwa verschiedene sie betreffende Vertragsübernahmen, so unter anderem im Rahmen von Restrukturierungen, ohne dass die aufgeführten Einzelheiten im angefochtenen Entscheid festgehalten worden wären. Die entsprechenden Ausführungen haben unbeachtet zu bleiben.</w:t>
      </w:r>
    </w:p>
    <w:p>
      <w:r>
        <w:rPr>
          <w:b/>
        </w:rPr>
        <w:t>E. 3</w:t>
      </w:r>
    </w:p>
    <w:p>
      <w:r>
        <w:t>Die Beschwerdeführerinnen rügen, das Schiedsgericht habe bei der Beurteilung seiner Zuständigkeit ( Art. 190 Abs. 2 lit. b IPRG ) in verschiedener Weise ihren Anspruch auf rechtliches Gehör verletzt ( Art. 190 Abs. 2 lit. d IPRG ).</w:t>
      </w:r>
    </w:p>
    <w:p>
      <w:r>
        <w:rPr>
          <w:b/>
        </w:rPr>
        <w:t>E. 3.1.1</w:t>
      </w:r>
    </w:p>
    <w:p>
      <w:r>
        <w:t>Art. 190 Abs. 2 lit. d IPRG lässt die Anfechtung allein wegen der zwingenden Verfahrensregeln gemäss Art. 182 Abs. 3 IPRG zu. Danach muss das Schiedsgericht insbesondere den Anspruch der Parteien auf rechtliches Gehör wahren. Dieser entspricht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130 III 35 E. 5 S. 38; 127 III 576 E. 2c; je mit Hinweisen). Demgegenüber umfasst der Anspruch auf rechtliches Gehör in einem kontradiktorischen Verfahren nach Art. 182 Abs. 3 und Art. 190 Abs. 2 lit. d IPRG nach ständiger Rechtsprechung nicht auch den Anspruch auf Begründung eines internationalen Schiedsentscheids ( BGE 134 III 186 E. 6.1 mit Hinweisen). Immerhin ergibt sich daraus jedoch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3.2.1</w:t>
      </w:r>
    </w:p>
    <w:p>
      <w:r>
        <w:t>Die Beschwerdeführerinnen bringen vor, sie hätten ein Gerichtsverfahren vor einem libyschen Gericht gegen die Beschwerdegegnerin angestrengt, was auch in den Terms of Reference ausdrücklich erwähnt worden sei. Dieses Verfahren werde im Entscheid nicht thematisiert; das Schiedsgericht ignoriere zudem, dass die Beschwerdegegnerin an diesem Verfahren offenbar teilnehme, ohne dass sie die Einrede der Unzuständigkeit erhoben habe. Auf dieses widersprüchliche und rechtsmissbräuchliche Verhalten der Beschwerdegegnerin hätten die Beschwerdeführerinnen mit Schreiben vom 4. August 2015 ausdrücklich und unmissverständlich hingewiesen. Zudem hätten die Beschwerdeführerinnen mehrfach erfolglos versucht, Unterlagen zum parallel laufenden Gerichtsverfahren ins Recht zu legen, die beweisen sollten, dass die Beschwerdegegnerin an diesem Verfahren aktiv teilnehme, ohne jemals die Zuständigkeit der libyschen Gerichte bestritten zu haben. Die entsprechenden Beweise seien vom Schiedsgericht nicht abgenommen, sondern mit Schreiben vom 5. Januar 2016 aus dem Recht gewiesen worden.</w:t>
      </w:r>
    </w:p>
    <w:p>
      <w:r>
        <w:rPr>
          <w:b/>
        </w:rPr>
        <w:t>E. 3.2.2</w:t>
      </w:r>
    </w:p>
    <w:p>
      <w:r>
        <w:t>Entgegen dem, was die Beschwerdeführerinnen anzunehmen scheinen, war das Schiedsgericht aufgrund der blossen Anmerkung in den Terms of Reference, wonach sie ein staatliches Gerichtsverfahren gegen die Beschwerdegegnerin eingeleitet hätten, nicht gehalten, sich im angefochtenen Entscheid mit diesem Verfahren im Einzelnen auseinanderzusetzen. Ausserdem zeigen sie nicht auf, inwiefern ihre mit E-Mail vom 4. August 2015 erhobenen Behauptungen, aus denen sie ein angeblich widersprüchliches Verhalten der Beschwerdegegnerin ableiten wollen, im Schiedsverfahren form- und fristgerecht vorgebracht wurden. Der von den Parteien vereinbarte Zeitplan gemäss Verfügung Nr. 1 vom 22. Februar 2015 legte im Einzelnen fest, wann die Parteien welche Eingaben zur Frage der Zuständigkeit einreichen konnten. Danach waren die Beschwerdeführerinnen gehalten, ihre Eingabe zu den Fragen der Zuständigkeit und des anwendbaren Rechts samt Beweismitteln bis zum 25. April 2015 einzureichen; die Beschwerdegegnerin hatte ihrerseits ihre diesbezügliche Eingabe samt Beweismitteln bis 26. Mai 2015 einzureichen, worauf die Beschwerdeführerinnen innert kurzer Frist replizieren und die Beschwerdegegnerin duplizieren konnte. Die vorgesehenen Rechtsschriften wurden von den Beschwerdeführerinnen am 25. April 2015 und 14. Juni 2015 auch tatsächlich eingereicht. Anschliessend waren von den Parteien lediglich noch Stellungnahmen zum Konzept der Simulation einzureichen. Inwiefern die von den Beschwerdeführerinnen am 4. August 2015 verschickte E-Mail vor diesem Hintergrund eine form- und fristgerechte Eingabe darstellen soll, leuchtet nicht ein und wird in der Beschwerde auch nicht dargetan. Der Vorwurf der Gehörsverletzung geht ins Leere. Entsprechendes gilt für die E-Mail-Schreiben der Beschwerdeführerinnen vom 30. November 2015 sowie vom 4. und 5. Januar 2016, die dem Schiedsgericht erst zugestellt wurden, nachdem das Verfahren bereits formell als geschlossen erklärt worden war. Das Schiedsgericht teilte den Beschwerdeführerinnen mit Schreiben vom 5. Januar 2016 denn auch mit, die betreffenden Eingaben seien verspätet erfolgt, wobei es darauf hinwies, dass der Zwischenentscheid bereits dem ICC-Gerichtshof übermittelt worden sei. Der Vorwurf der Gehörsverletzung ist unbegründet. Eine solche lässt sich auch nicht mit dem blossen Vorbringen begründen, das schiedsgerichtliche Schreiben überrasche, da der Zwischenentscheid erst fünf Monate später ergangen sei. Ausserdem verkennen die Beschwerdeführerinnen mit ihren Ausführungen, dass eine falsche oder gar willkürliche Anwendung der schiedsgerichtlichen Verfahrensordnung für sich allein nicht ausreicht, um einen internationalen Schiedsentscheid aufzuheben (vgl. BGE 129 III 445 E. 4.2.1; 126 III 249 E. 3b mit Hinweisen).</w:t>
      </w:r>
    </w:p>
    <w:p>
      <w:r>
        <w:rPr>
          <w:b/>
        </w:rPr>
        <w:t>E. 3.3.1</w:t>
      </w:r>
    </w:p>
    <w:p>
      <w:r>
        <w:t>Die Beschwerdeführerinnen bringen weiter vor, ihnen sei weder die Möglichkeit eingeräumt worden, zur Eingabe der Beschwerdegegnerin zur Frage des simulierten Vertrags Stellung zu nehmen, noch sich überhaupt zu diesem Thema zu äussern. Das Schiedsgericht habe erwogen, es sei klar, dass die Parteien den FIDIC-Vertrag als den gewollten und den PWC-Vertrag als den vorgeschobenen Vertrag betrachteten, um die Steuervorteile der libyschen Steuerbehörden zu erlangen. Im weiteren Entscheid äussere sich das Schiedsgericht zum Thema des simulierten Vertrags, indem es Art. 247 des libyschen Zivilgesetzbuchs wiedergebe und sich ganz allgemein zur Geschäftspraxis von Parteien in der Wirtschaftswelt vernehmen lasse, Verträge zu ihrem eigenen Vorteil zu simulieren. Über diese allgemeinen Ausführungen hinaus habe das Schiedsgericht offenbar schlicht "vergessen", sich wie angekündigt ( "as explained below") damit auseinanderzusetzen, auf welche Argumente/Sachverhaltselemente es sich bei seiner Schlussfolgerung stütze, wonach es offensichtlich sei, dass die Parteien den zweiten Vertrag zur Erlangung von Steuervorteilen geschlossen hätten. Insbesondere werde auch das Argument der Beschwerdeführerinnen betreffend teilsimulierte Verträge zwar erwähnt, es erfolgten aber keine Ausführungen hierzu bzw. das Schiedsgericht unterstelle, dass die Beschwerdegegnerin der Auffassung sei, dass der PWC-Vertrag (gänzlich) simuliert sei. Dies sei aber nicht der Fall, wie sich aus der Eingabe der Beschwerdegegnerin zum Konzept des simulierten Vertrags vom 27. August 2015 ergebe. Der angefochtene Entscheid stütze sich somit irrtümlich auf angebliche Behauptungen der Beschwerdegegnerin und unterlasse es, konkrete fallbezogene Ausführungen zur Simulation von Verträgen zu machen.</w:t>
      </w:r>
    </w:p>
    <w:p>
      <w:r>
        <w:rPr>
          <w:b/>
        </w:rPr>
        <w:t>E. 3.3.2</w:t>
      </w:r>
    </w:p>
    <w:p>
      <w:r>
        <w:t>Die Beschwerdeführerinnen vermögen nicht aufzuzeigen, inwiefern es ihnen hinsichtlich einzelner Vorbringen verunmöglicht worden wäre, ihren Standpunkt in das Verfahren einzubringen. Wie aus ihren Vorbringen selber hervorgeht, ist dem Schiedsgericht das Argument des teilsimulierten Vertrags keineswegs entgangen; es hat dieses jedoch zumindest sinngemäss verworfen, indem es in der Folge von einem gänzlich simulierten Vertrag ausging. Soweit die Beschwerdeführerinnen dem Schiedsgericht vorwerfen, es habe Vorbringen der Gegenseite übergangen, zeigen sie keine Verletzung ihres Anspruchs auf rechtliches Gehör auf. Zudem geht aus ihren Ausführungen nicht hervor, inwiefern es ihnen verwehrt gewesen wäre, sich zur Eingabe der Beschwerdegegnerin zur Frage der Simulation zu äussern. Ebenso wenig legen sie dar, inwiefern dem Schiedsgericht eine unzutreffende Anwendung des auf die Schiedsklausel anwendbaren Rechts hinsichtlich der Frage der Simulation vorzuwerfen wäre. Soweit sie die schiedsgerichtliche Begründung kritisieren, verkennen sie, dass sich das Schiedsgericht nicht ausdrücklich mit jedem einzelnen Vorbringen der Parteien auseinandersetzen muss, um den Anforderungen des Anspruchs auf rechtliches Gehör zu genügen. Entsprechendes gilt für ihre Ausführungen hinsichtlich der angeblich gemeinsamen Vorbringen der Parteien, wonach beide Verträge nebeneinander gültig seien. Wie sich aus den Erwägungen des angefochtenen Entscheids ergibt (siehe etwa Rz. 45 f., 51), ist dem Schiedsgericht nicht entgangen, dass sich die Parteien im Schiedsverfahren (mitunter als Eventualstandpunkt) auf die gleichzeitige Gültigkeit der beiden Verträge beriefen. Der Vorwurf der Gehörsverletzung ist unbegründet.</w:t>
      </w:r>
    </w:p>
    <w:p>
      <w:r>
        <w:rPr>
          <w:b/>
        </w:rPr>
        <w:t>E. 3.3.3</w:t>
      </w:r>
    </w:p>
    <w:p>
      <w:r>
        <w:t>Unbegründet ist auch die im gleichen Zusammenhang erhobene Rüge, das Schiedsgericht habe Anträge der Beschwerdeführerinnen zum Thema der simulierten Verträge übergangen. Wie sie in der Beschwerde selber ausführen, forderte das Schiedsgericht die Parteien am 6. August 2015 eigens dazu auf, bis 27. August 2015 zum Konzept der Simulation Stellung zu nehmen. Die Eingabe der Beschwerdegegnerin erfolgte fristgerecht, während eine solche der Beschwerdeführerinnen ausblieb. Indem sie nunmehr in der Beschwerde vorbringen, sie hätten mit E-Mail vom 8. August 2015 darum ersucht, dass zunächst die Beschwerdegegnerin ihre Stellungnahme einreiche und ihnen zudem aufgrund einer Ferienabwesenheit ihres Rechtsvertreters eine Fristerstreckung bis Mitte September 2015 zu gewähren sei, vermögen sie keine Gehörsverletzung aufzuzeigen. Selbst wenn mit den Beschwerdeführerinnen von einem formgerechten Fristerstreckungsgesuch auszugehen wäre, konnten sie nicht einfach untätig bleiben und die angesetzte Frist ohne Weiteres verstreichen lassen. Insbesondere reichten sie, obwohl ihnen die Stellungnahme der Beschwerdegegnerin zur Frage der Simulation vom 27. August 2015 unbestrittenermassen zeitgerecht zugegangen war, auch innert der angeblich beantragten Fristerstreckung bis Mitte September 2015 keine entsprechende Stellungnahme ein. Die Rüge der Gehörsverletzung ist unbegründet.</w:t>
      </w:r>
    </w:p>
    <w:p>
      <w:r>
        <w:rPr>
          <w:b/>
        </w:rPr>
        <w:t>E. 3.4</w:t>
      </w:r>
    </w:p>
    <w:p>
      <w:r>
        <w:t>Die Beschwerdeführerinnen wehren sich im Weiteren gegen die schiedsgerichtliche Feststellung, wonach sie sich im Zusammenhang mit der Zuständigkeit des Schiedsgerichts auf den Einwand der Gültigkeit des FIDIC-Vertrags und der darin enthaltenen Schiedsklausel beschränkten und die Beschwerdeführerin 2 keine sie selbst betreffenden spezifischen Einwände erhob. Sie räumen in der Beschwerde selber ein, im Rahmen des Schiedsverfahrens keine besonderen Einwände gegen die Zuständigkeit des Schiedsgerichts über die Beschwerdeführerin 2 erhoben zu haben. Ihr Vorbringen, auf spezifische Einwände verzichtet zu haben, weil sie nie in Betracht gezogen hätten, dass das Schiedsgericht den PWC-Vertrag als gänzlich unbeachtlich qualifizieren würde, rechtfertigt nicht, dass sie sich erstmals im bundesgerichtlichen Beschwerdeverfahren auf entsprechende Einwände berufen. Wie im Schiedsentscheid festgehalten, war der Umstand, dass die beiden zur Diskussion stehenden Verträge mit Bindungswirkung für alle Verfahrensparteien abgeschlossen wurden, im Grundsatz unbestritten. Wäre die Beschwerdeführerin 2 der Ansicht gewesen, dass sie trotz der erfolgten Restrukturierungen, Vertragsübernahmen und Willenserklärungen im Rahmen des Bauprojekts nicht Vertragspartei des FIDIC-Vertrags geworden wäre, hätte sie dies im Schiedsverfahren vorbringen müssen. Entgegen der in der Beschwerde vertretenen Ansicht lassen die im angefochtenen Entscheid enthaltenen Sachverhaltsfeststellungen, so insbesondere der blosse Umstand, dass der FIDIC-Vertrag ursprünglich von der Beschwerdeführerin 1 und der Beschwerdegegnerin unterzeichnet worden war, den Schluss nicht zu, dem Schiedsgericht fehle die Zuständigkeit über die Beschwerdeführerin 2. Ohne konkrete Einwände war das Schiedsgericht nicht veranlasst, nach weiteren Gründen zu forschen, die gegen die Gültigkeit der Schiedsklausel für einzelne Verfahrensparteien sprechen könnten. Der Vorwurf der Gehörsverletzung ist auch in dieser Hinsicht unbegründet.</w:t>
      </w:r>
    </w:p>
    <w:p>
      <w:r>
        <w:rPr>
          <w:b/>
        </w:rPr>
        <w:t>E. 4</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