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4A_48/2024 vom 4. März 2024</w:t>
      </w:r>
    </w:p>
    <w:p>
      <w:r>
        <w:t>Bundesgericht, 2024-03-04, DE</w:t>
      </w:r>
    </w:p>
    <w:p>
      <w:r>
        <w:rPr>
          <w:b/>
        </w:rPr>
        <w:t xml:space="preserve">Quelle: </w:t>
      </w:r>
      <w:r>
        <w:t>https://mcp.opencaselaw.ch/entscheid/bger_4A_48_2024</w:t>
      </w:r>
    </w:p>
    <w:p>
      <w:r>
        <w:t>FR: TF 4A_48/2024 du 4 mars 2024</w:t>
      </w:r>
    </w:p>
    <w:p>
      <w:r>
        <w:t>IT: TF 4A_48/2024 del 4 marzo 2024</w:t>
      </w:r>
    </w:p>
    <w:p>
      <w:pPr>
        <w:pStyle w:val="Heading2"/>
      </w:pPr>
      <w:r>
        <w:t>Erwägungen</w:t>
      </w:r>
    </w:p>
    <w:p>
      <w:r>
        <w:rPr>
          <w:b/>
        </w:rPr>
        <w:t>E. 1</w:t>
      </w:r>
    </w:p>
    <w:p>
      <w:r>
        <w:t>Mit Klage vom 23. Juni 2023 beantragte die Beschwerdegegnerin dem Handelsgericht des Kantons Aargau, es sei festzustellen, dass die beim Betreibungsamt X.________ mit der Betreibung Nr. xxx in Betreibung gesetzte Forderung der Beschwerdeführerin in der Höhe von Fr. 5 Mio. (Zahlungsbefehl vom 25. April 2023) nicht bestehe und es sei die Betreibung vollumfänglich aufzuheben.</w:t>
      </w:r>
    </w:p>
    <w:p>
      <w:r>
        <w:t>Am 8. November 2023 zog die Beschwerdeführerin die von ihr eingeleitete Betreibung Nr. xxx zurück.</w:t>
      </w:r>
    </w:p>
    <w:p>
      <w:r>
        <w:t>Mit Verfügung vom 6. Dezember 2023 schrieb das Handelsgericht des Kantons Aargau das Verfahren zufolge Gegenstandslosigkeit als erledigt ab und auferlegte der Beschwerdeführerin die Verfahrenskosten. Es erwog hinsichtlich der Kosten, die Klage der Beschwerdegegnerin wäre mutmasslich gutgeheissen worden; zudem habe die Beschwerdeführerin die Gegenstandslosigkeit veranlasst.</w:t>
      </w:r>
    </w:p>
    <w:p>
      <w:r>
        <w:t>Mit Eingabe vom 23. Januar 2024 erklärte die Beschwerdeführerin dem Bundesgericht, den Kostenentscheid der Verfügung vom 6. Dezember 2023 mit Beschwerde anfechten zu wollen.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 setzt sich in ihrer Beschwerdeeingabe vom 23. Januar 2024 nicht hinreichend mit den Erwägungen der angefochtenen Verfügung des Handelsgerichts des Kantons Aargau vom 6. Dezember 2023 auseinander und zeigt nicht rechtsgenügend auf, inwiefern die Vorinstanz mit ihrem Entscheid Bundesrecht verletzt hätte. Stattdessen unterbreitet sie dem Bundesgericht unter Hinweis auf verschiedene Beilagen ihre eigene Sicht der Dinge zum Ablauf der Ereignisse, ohne jedoch eine hinreichend begründete Sachverhaltsrüge zu erheben. Sie bezeichnet die vorinstanzlichen Erwägungen verschiedentlich als willkürlich, zeigt jedoch offensichtlich nicht rechtsgenügend auf, inwiefern die Vorinstanz Art. 9 BV verletzt haben soll.</w:t>
      </w:r>
    </w:p>
    <w:p>
      <w:r>
        <w:t>Auf die Beschwerde ist somit mangels hinreichender Begründung nicht einzutreten ( Art. 108 Abs. 1 lit. b BGG ).</w:t>
      </w:r>
    </w:p>
    <w:p>
      <w:r>
        <w:rPr>
          <w:b/>
        </w:rPr>
        <w:t>E. 3</w:t>
      </w:r>
    </w:p>
    <w:p>
      <w:r>
        <w:t>Die Beschwerdeführerin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