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48/2014 vom 2. Juni 2014</w:t>
      </w:r>
    </w:p>
    <w:p>
      <w:r>
        <w:t>Bundesgericht, 2014-06-02, DE</w:t>
      </w:r>
    </w:p>
    <w:p>
      <w:r>
        <w:rPr>
          <w:b/>
        </w:rPr>
        <w:t xml:space="preserve">Quelle: </w:t>
      </w:r>
      <w:r>
        <w:t>https://mcp.opencaselaw.ch/entscheid/bger_4A_48_2014</w:t>
      </w:r>
    </w:p>
    <w:p>
      <w:r>
        <w:t>FR: TF 4A 48/2014 du 2 juin 2014</w:t>
      </w:r>
    </w:p>
    <w:p>
      <w:r>
        <w:t>IT: TF 4A 48/2014 del 2 giugno 2014</w:t>
      </w:r>
    </w:p>
    <w:p>
      <w:pPr>
        <w:pStyle w:val="Heading2"/>
      </w:pPr>
      <w:r>
        <w:t>Regeste</w:t>
      </w:r>
    </w:p>
    <w:p>
      <w:r>
        <w:t>Anfechtung eines Beschlusses der Generalversammlung | Gesellschaftsrecht</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 Art. 75 Abs. 1 und Art. 90 BGG ). Dagegen steht die Beschwerde in Zivilsachen offen. Da auch die übrigen Sachurteilsvoraussetzungen erfüllt sind, ist - unter Vorbehalt einer hinreichenden Begründung ( Art. 42 Abs. 2 und Art. 106 Abs. 2 BGG ) - auf die Beschwerde in Zivilsachen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 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(Urteile 4A_22/2014 vom 23. April 2014 E. 2.2; 4A_482/2013 vom 19. März 2014 E. 1.4;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2.1</w:t>
      </w:r>
    </w:p>
    <w:p>
      <w:r>
        <w:t>Die Vorinstanz wies zunächst darauf hin, dass der Beschwerdegegner unbestrittenermassen als Eigentümer von 98 Namenaktien im Aktienbuch eingetragen war und stellte fest, es sei im Berufungsverfahren nicht (mehr) streitig, dass der Beschwerdegegner am 15. Juli 2010 trotz der Beschlagnahmeverfügungen der lettischen Staatsanwaltschaft vom 17. und 19. Dezember 2007 weiterhin das Stimmrecht an 45 der insgesamt 100 Namenaktien ausüben konnte und in diesem Umfang denn auch zu den Abstimmungen an der Generalversammlung der Beschwerdeführerin vom 15. Juli 2010 zugelassen wurde. Mit diesen 45 Aktienstimmen habe der Beschwerdegegner die Beschwerdeführerin selbst dann beherrschen können, wenn ihm die Stimmrechte hinsichtlich der 53 in Lettland beschlagnahmten Aktien tatsächlich rechtsverbindlich entzogen wurden, sofern die entsprechenden Stimmrechte vor dem angefochtenen Beschluss nicht rechtswirksam auf C.________ übertragen wurden. Der Beschwerdegegner habe demnach an der Generalversammlung vom 15. Juli 2010 mit seinen 45 Aktienstimmen über die Mehrheit verfügt, die es ihm erlaubt hätte, die von ihm vorgeschlagenen Verwaltungsräte gültig zu wählen, falls es an einer vorgängigen Übertragung der Stimmrechte an C.________ fehlte. Die Vorinstanz erwog, die schweizerische Rechtsordnung kenne in bestimmten - konkret jedoch nicht relevanten - Fällen die Möglichkeit einer öffentlich-rechtlichen Suspendierung des Stimmrechts. Im Weiteren bestehe gestützt auf Art. 263 ff. StPO (SR 312.0) die Möglichkeit, die Verfügungsmacht über eine Aktiengesellschaft zu beschränken, indem Aktien, die in Wertpapieren verbrieft sind, beschlagnahmt und mittels physischer Behändigung oder Depotsperre sichergestellt werden. Ferner sei in Bezug auf nicht verurkundete Namenaktien eine Sperrung des Aktienbuchs denkbar, wobei eine solche die Übertragung von Namenaktien nicht zu verhindern vermöge, weil der Eintrag nur deklaratorisch wirke. Nicht vorgesehen sei im schweizerischen Recht hingegen die Übertragung von Aktienstimmrechten auf eine andere Person als den Aktionär kraft öffentlichen Rechts bzw. - wie im zu beurteilenden Fall geltend gemacht - im Rahmen einer strafprozessualen Beschlagnahme. Die gestützt auf lettisches Strafprozessrecht ergangenen Verfügungen der lettischen Staatsanwaltschaft vom 17. und 19. Dezember 2007 könnten in der Schweiz von vornherein nur auf dem Rechtshilfeweg Wirkung entfalten und seien einer Anerkennung nach dem IPRG (SR 291) schon deshalb nicht zugänglich, weil es sich dabei nicht um Zivilurteile, sondern um strafprozessuale Zwangsmassnahmen handle. Die Vorinstanz lehnte zudem die Auffassung der Beschwerdeführerin ab, wonach C.________ mit der Arrestverfügung der lettischen Staatsanwaltschaft eine Pflicht zur Vermögensverwaltung auferlegt worden sei, die ein aktives Verhalten voraussetze und daher auch die Ausübung des Stimmrechts beinhalte. Gemäss Art. 271 Ziffer 1 StGB (SR 311.0) sei es verboten, auf schweizerischem Gebiet in einem Bereich des staatlichen Machtmonopols stellvertretend für den lettischen Staat bzw. dessen Strafbehörden Vollstreckungshandlungen vorzunehmen; aus einer möglichen strafbaren Handlung könne die Beschwerdeführerin aber offenkundig nichts zu ihren Gunsten ableiten. Ausserdem sei für den angeblichen Übergang der Stimmrechte keine materiellrechtliche Grundlage ersichtlich. C.________ habe daher die Stimmrechte an den 53 mit Beschlag belegten Namenaktien anlässlich der Generalversammlung vom 15. Juli 2010 nicht ausüben können, sondern habe lediglich über zwei Stimmen verfügt und damit in jedem Fall nicht über die erforderliche Mehrheit, um den Beschwerdegegner als Verwaltungsrat abzuwählen. Der entsprechende Beschluss sei daher von der Erstinstanz zu Recht aufgehoben worden.</w:t>
      </w:r>
    </w:p>
    <w:p>
      <w:r>
        <w:rPr>
          <w:b/>
        </w:rPr>
        <w:t>E. 2.2</w:t>
      </w:r>
    </w:p>
    <w:p>
      <w:r>
        <w:t>Die Beschwerde geht auf diese Begründung nicht ein; sie lässt keine Auseinandersetzung mit den konkreten Erwägungen der Vorinstanz erkennen. Die Beschwerdeführerin unterbreitet dem Bundesgericht vielmehr losgelöst vom angefochtenen Urteil und unter Berufung auf verschiedenste Aktenstücke und angebotene Beweise ihren Standpunkt, wonach die Klage abzuweisen sei, als ob das Bundesgericht die Streitsache von Grund auf neu beurteilen könnte. Damit verfehlt sie die erwähnten Begründungsanforderungen an eine hinreichende Beschwerde. Die Beschwerdeführerin beruft sich im Verfahren vor Bundesgericht nunmehr etwa darauf, mit Entscheid des lettischen Strafgerichts vom 19. September 2011 seien auch die verbleibenden 45 Namenaktien des Beschwerdegegners mit Arrest belegt worden und es sei ihm ausdrücklich verboten worden, das Stimmrecht daran auszuüben. Abgesehen davon, dass die wirksame Ausübung des Stimmrechts an diesen 45 Aktien durch den Beschwerdegegner anlässlich der Generalversammlung vom 15. Juli 2010 im vorinstanzlichen Verfahren gar nicht umstritten war, ist eine mögliche Auswirkung des ins Feld geführten Urteils auf den fraglichen Beschluss, der mehr als ein Jahr vorher gefällt wurde, in keiner Weise ersichtlich. Auch die Ausführungen zu weiteren im Jahre 2011 und danach abgehaltenen Generalversammlungen der Beschwerdeführerin erfolgen ohne erkennbaren zeitlichen oder inhaltlichen Zusammenhang mit der von der Vorinstanz konkret entschiedenen Streitfrage. Entsprechendes gilt hinsichtlich der Ausführungen in der Beschwerde zum Stimmrecht von C.________, in denen die Beschwerdeführerin dem Bundesgericht ohne Auseinandersetzung mit dem angefochtenen Entscheid ihre Sicht der Dinge unterbreitet. Sie legt in keiner Weise dar, inwiefern der Vorinstanz eine Rechtsverletzung vorzuwerfen wäre, indem sie die Verfügungen der lettischen Staatsanwaltschaft im vorliegenden Zivilverfahren für die Beurteilung der Aktionärseigenschaft bzw. des behaupteten Übergangs der Stimmrechte aus Sicht des schweizerischen internationalen Privatrechts als nicht massgebend erachtete. Damit stösst auch der im gleichen Zusammenhang erhobene Vorwurf der Gehörsverletzung ins Leere, ergibt sich aus Art. 29 Abs. 2 BV doch keine Pflicht der Behörden, Beweisanträgen zu rechtlich unerheblichen Behauptungen nachzugehen (vgl. BGE 136 I 265 E. 3.2 S. 272 ; 131 I 153 E. 3 S. 157); abgesehen davon legt die Beschwerdeführerin nicht mit Aktenhinweisen dar, dass sie die von ihr aufgeführten Beweismittel bereits bei der Vorinstanz genannt hätte. Auf die Ausführungen in der Beschwerde zur Hauptbegründung der Vorinstanz ist daher nicht einzutreten.</w:t>
      </w:r>
    </w:p>
    <w:p>
      <w:r>
        <w:rPr>
          <w:b/>
        </w:rPr>
        <w:t>E. 3</w:t>
      </w:r>
    </w:p>
    <w:p>
      <w:r>
        <w:t>Die Beschwerdeführerin bringt eventualiter vor, es sei bei einer Gutheissung der Anfechtungsklage nur eine Aufhebung des angefochtenen Beschlusses der Generalversammlung möglich; eine positive Gestaltung sei ausgeschlossen.</w:t>
      </w:r>
    </w:p>
    <w:p>
      <w:r>
        <w:rPr>
          <w:b/>
        </w:rPr>
        <w:t>E. 3.1</w:t>
      </w:r>
    </w:p>
    <w:p>
      <w:r>
        <w:t>Die Vorbringen stossen bereits deshalb ins Leere, weil die Vorinstanz entgegen der in der Beschwerde erhobenen Behauptung gerade nicht positiv das Wahlergebnis gestaltet hat. Im Gegenteil hat die Vorinstanz lediglich das erstinstanzliche Urteil bestätigt, das sich darauf beschränkte, die angefochtenen Beschlüsse der Generalversammlung vom 15. Juli 2010 betreffend die Wahl von C.________ und die Abwahl des Beschwerdegegners aufzuheben; auf das klägerische Begehren um Feststellung der rechtmässig gewählten Verwaltungsräte trat die Erstinstanz mangels Rechtsschutzinteresses nicht ein. Die Vorinstanz bezeichnete den bezirksgerichtlichen Nichteintretensentscheid zwar als fragwürdig, liess die Frage der Zulässigkeit der sog. positiven Stimmrechtsklage aber offen, nachdem der Beschwerdegegner keine Berufung erhoben hatte und der erstinstanzliche Entscheid daher bezüglich des Nichteintretens auf das klägerische Feststellungsbegehren in Rechtskraft erwachsen war.</w:t>
      </w:r>
    </w:p>
    <w:p>
      <w:r>
        <w:rPr>
          <w:b/>
        </w:rPr>
        <w:t>E. 3.2</w:t>
      </w:r>
    </w:p>
    <w:p>
      <w:r>
        <w:t>Damit zusammenhängend ist auch der Vorwurf der Beschwerdeführerin unbegründet, die Vorinstanz sei zu Unrecht auf ihr erstmals im Berufungsverfahren gestelltes Eventualbegehren nicht eingetreten, wonach im Fall der Aufhebung des Generalversammlungsbeschlusses festzustellen sei, dass E.________ nicht in den Verwaltungsrat gewählt wurde. Entgegen ihren Behauptungen hat weder die Erst- noch die Vorinstanz ein Feststellungsurteil darüber gefällt, welche Verwaltungsräte nach Aufhebung des aufgehobenen Beschlusses als rechtswirksam gewählt zu gelten haben. Die vorgebrachten Gründe, die nach der in der Beschwerde vertretenen Ansicht das neue Rechtsbegehren rechtfertigen sollen, liegen demnach nicht vor. Es leuchtet nicht ein, inwiefern die Vorinstanz auf das neue Feststellungsbegehren der Beschwerdeführerin hätte eintreten müssen, nachdem die Feststellung der wirksam gewählten Verwaltungsräte nicht mehr Gegenstand des Berufungsverfahrens war. Die Beschwerde ist auch in dieser Hinsicht unbegründet.</w:t>
      </w:r>
    </w:p>
    <w:p>
      <w:r>
        <w:rPr>
          <w:b/>
        </w:rPr>
        <w:t>E. 4</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