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489/2021 vom 11. Oktober 2021</w:t>
      </w:r>
    </w:p>
    <w:p>
      <w:r>
        <w:t>Bundesgericht, 2021-10-11, DE</w:t>
      </w:r>
    </w:p>
    <w:p>
      <w:r>
        <w:rPr>
          <w:b/>
        </w:rPr>
        <w:t xml:space="preserve">Quelle: </w:t>
      </w:r>
      <w:r>
        <w:t>https://mcp.opencaselaw.ch/entscheid/bger_4A_489_2021</w:t>
      </w:r>
    </w:p>
    <w:p>
      <w:r>
        <w:t>FR: TF 4A 489/2021 du 11 octobre 2021</w:t>
      </w:r>
    </w:p>
    <w:p>
      <w:r>
        <w:t>IT: TF 4A 489/2021 del 11 ottobre 2021</w:t>
      </w:r>
    </w:p>
    <w:p>
      <w:pPr>
        <w:pStyle w:val="Heading2"/>
      </w:pPr>
      <w:r>
        <w:t>Regeste</w:t>
      </w:r>
    </w:p>
    <w:p>
      <w:r>
        <w:t>Forderung aus Arbeitsvertrag, | Vertragsrecht</w:t>
      </w:r>
    </w:p>
    <w:p>
      <w:pPr>
        <w:pStyle w:val="Heading2"/>
      </w:pPr>
      <w:r>
        <w:t>Erwägungen</w:t>
      </w:r>
    </w:p>
    <w:p>
      <w:r>
        <w:rPr>
          <w:b/>
        </w:rPr>
        <w:t>E. 1</w:t>
      </w:r>
    </w:p>
    <w:p>
      <w:r>
        <w:t>Mit Eingabe vom 15. Februar 2019 reichte A.________ (Beschwerdeführerin) beim Regionalgericht Prättigau/Davos eine Klage ein, mit der sie verlangte, die Stiftung B.________ (Beschwerdegegnerin) sei zu verurteilen, ihr Fr. 19'937.-- nebst Zins zu bezahlen. Sie machte geltend, ihr sei missbräuchlich gekündigt worden. Mit Urteil vom 12. März 2020 wies das Regionalgericht die Klage ab. Dagegen erhob A.________ sowohl Berufung als auch Beschwerde an das Kantonsgericht von Graubünden. Dieses erklärte, die Berufung sei das zulässige Rechtsmittel, und wies diese mit Urteil vom 4. August 2021 ab, soweit es darauf eintrat. Mit Eingabe vom 15. September 2021 hat A.________ erklärt, dieses Urteil mit Beschwerde anzufechten. Es wurden keine Vernehmlassungen eingeholt.</w:t>
      </w:r>
    </w:p>
    <w:p>
      <w:r>
        <w:rPr>
          <w:b/>
        </w:rPr>
        <w:t>E. 2</w:t>
      </w:r>
    </w:p>
    <w:p>
      <w:r>
        <w:t>Auf das Rechtsmittel ist von vornherein nicht einzutreten, soweit es sich nicht gegen das kantonsgerichtliche Urteil richtet, was namentlich auf die in der Beschwerde geübte Kritik an der erstinstanzlichen Verfahrensführung zutrifft (vgl. Art. 75 BGG ).</w:t>
      </w:r>
    </w:p>
    <w:p>
      <w:r>
        <w:rPr>
          <w:b/>
        </w:rPr>
        <w:t>E. 3.1</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3.2</w:t>
      </w:r>
    </w:p>
    <w:p>
      <w:r>
        <w:t>Die Beschwerdeführerin verfehlt die eben dargestellten Begründungsanforderungen. Sie unterbreitet dem Bundesgericht frei ihre eigene Sicht der Ereignisse, ohne sich auch nur ansatzweise auf die Sachverhaltsfeststellungen im angefochtenen Urteil stützen zu können. Hinreichende Sachverhaltsrügen werden nicht erhoben. Im Übrigen werden in der Beschwerde zwar verschiedene Gesetzesbestimmungen genannt, doch zeigt die Beschwerdeführerin nicht konkret anhand der vorinstanzlichen Erwägungen und gestützt auf die für das Bundesgericht verbindlichen Tatsachen auf, inwiefern diese verletzt sein sollten. Die Beschwerde enthält somit offensichtlich keine hinreichende Begründung.</w:t>
      </w:r>
    </w:p>
    <w:p>
      <w:r>
        <w:rPr>
          <w:b/>
        </w:rPr>
        <w:t>E. 4</w:t>
      </w:r>
    </w:p>
    <w:p>
      <w:r>
        <w:t>Folglich ist auf die Beschwerde im vereinfachten Verfahren gemäss Art. 108 Abs. 1 lit. a und lit. b BGG nicht einzutreten. Ausnahmsweise werden keine Gerichtskosten erhoben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