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489/2020 vom 13. Oktober 2020</w:t>
      </w:r>
    </w:p>
    <w:p>
      <w:r>
        <w:t>Bundesgericht, 2020-10-13, DE</w:t>
      </w:r>
    </w:p>
    <w:p>
      <w:r>
        <w:rPr>
          <w:b/>
        </w:rPr>
        <w:t xml:space="preserve">Quelle: </w:t>
      </w:r>
      <w:r>
        <w:t>https://mcp.opencaselaw.ch/entscheid/bger_4A_489_2020</w:t>
      </w:r>
    </w:p>
    <w:p>
      <w:r>
        <w:t>FR: TF 4A 489/2020 du 13 octobre 2020</w:t>
      </w:r>
    </w:p>
    <w:p>
      <w:r>
        <w:t>IT: TF 4A 489/2020 del 13 ottobre 2020</w:t>
      </w:r>
    </w:p>
    <w:p>
      <w:pPr>
        <w:pStyle w:val="Heading2"/>
      </w:pPr>
      <w:r>
        <w:t>Regeste</w:t>
      </w:r>
    </w:p>
    <w:p>
      <w:r>
        <w:t>Ausstand, | Vertragsrecht</w:t>
      </w:r>
    </w:p>
    <w:p>
      <w:pPr>
        <w:pStyle w:val="Heading2"/>
      </w:pPr>
      <w:r>
        <w:t>Erwägungen</w:t>
      </w:r>
    </w:p>
    <w:p>
      <w:r>
        <w:rPr>
          <w:b/>
        </w:rPr>
        <w:t>E. 1</w:t>
      </w:r>
    </w:p>
    <w:p>
      <w:r>
        <w:t>A.________ (Beschwerdeführer) reichte am 8. März 2019 am Arbeitsgericht Bremgarten gegen die B.________ AG Klage ein. Am 18. Dezember 2019 wies das Arbeitsgericht die Klage teilweise ab und eröffnete den Parteien das Urteil im Dispositiv. Am 7. und 10. Januar 2020 verlangten die Parteien die Zustellung eines vollständig begründeten Entscheids. Mit Schreiben vom 12. Januar 2020 stellte der Beschwerdeführer sodann ein Ausstandsgesuch gegen den am Entscheid mitwirkenden Gerichtspräsidenten Raimond Corboz. Mit Entscheid vom 7. April 2020 wies das Arbeitsgericht Bremgarten das Ausstandsgesuch ab. Die dagegen vom Beschwerdeführer erhobene Beschwerde wies das Obergericht des Kantons Aargau mit Entscheid vom 7. September 2020 ab. Gegen den Entscheid des Obergerichts erhob der Beschwerdeführer mit Eingabe vom 16. September 2020 Beschwerde an das Bundesgericht. 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Eingabe des Beschwerdeführers erfüllt diese Begründungsanforderungen offensichtlich nicht. Der Beschwerdeführer beharrt vor Bundesgericht auf seiner Auffassung, dass Gerichtspräsident Raimond Corboz in den Ausstand zu treten habe, wenn nicht nur die "Mikroperspektive" sondern der ganze Fall aus der "Makroperspektive" betrachtet werde. Er geht zur Darlegung seines Standpunktes über die Sachverhaltsfeststellungen der Vorinstanz hinaus und schildert in frei gehaltenen Ausführungen seine Sicht der Dinge, ohne indessen auf die Erwägungen der Vorinstanz hinreichend konkret einzugehen, geschweige denn nachvollziehbar aufzuzeigen, welche Rechte die Vorinstanz mit ihrem Entscheid inwiefern verletzt haben soll. Auf die Beschwerde ist somit mangels hinreichender Begründung nicht einzutreten ( Art. 108 Abs. 1 lit. b BGG ).</w:t>
      </w:r>
    </w:p>
    <w:p>
      <w:r>
        <w:rPr>
          <w:b/>
        </w:rPr>
        <w:t>E. 4</w:t>
      </w:r>
    </w:p>
    <w:p>
      <w:r>
        <w:t>Bei diesem Ausgang des Verfahrens sind die Gerichtskosten dem Beschwerdeführer aufzuerlegen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