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4A_487/2023 vom 15. November 2023</w:t>
      </w:r>
    </w:p>
    <w:p>
      <w:r>
        <w:t>Bundesgericht, 2023-11-15, DE</w:t>
      </w:r>
    </w:p>
    <w:p>
      <w:r>
        <w:rPr>
          <w:b/>
        </w:rPr>
        <w:t xml:space="preserve">Quelle: </w:t>
      </w:r>
      <w:r>
        <w:t>https://mcp.opencaselaw.ch/entscheid/bger_4A_487_2023</w:t>
      </w:r>
    </w:p>
    <w:p>
      <w:r>
        <w:t>FR: TF 4A_487/2023 du 15 novembre 2023</w:t>
      </w:r>
    </w:p>
    <w:p>
      <w:r>
        <w:t>IT: TF 4A_487/2023 del 15 novembre 2023</w:t>
      </w:r>
    </w:p>
    <w:p>
      <w:pPr>
        <w:pStyle w:val="Heading2"/>
      </w:pPr>
      <w:r>
        <w:t>Erwägungen</w:t>
      </w:r>
    </w:p>
    <w:p>
      <w:r>
        <w:rPr>
          <w:b/>
        </w:rPr>
        <w:t>E. 1</w:t>
      </w:r>
    </w:p>
    <w:p>
      <w:r>
        <w:t>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 Art. 42 Abs. 1 BGG ), die nicht notwendigerweise mit der Verfahrenssprache des vorinstanzlichen Verfahrens übereinstimmen muss (Urteile 2C_1004/2022 vom 18. Oktober 2023 E. 1.5; 5A_581/2022 vom 19. August 2022 E. 1.3; je mit Hinweisen). Der Beschwerdeführer hat seine Beschwerde in französischer Sprache verfasst, was nach dem Gesagten zulässig ist. Die Verfahrenssprache bleibt jedoch Deutsch; das Urteil ergeht folglich in dieser Sprache.</w:t>
      </w:r>
    </w:p>
    <w:p>
      <w:r>
        <w:rPr>
          <w:b/>
        </w:rPr>
        <w:t>E. 2</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übrigen Eintretensvoraussetzungen für eine Beschwerde in Zivilsachen sind erfüllt und geben zu keinen weiteren Bemerkungen Anlass. Demnach ist auf die Beschwerde in Zivilsachen unter dem Vorbehalt der hinreichenden Begründung einzutreten ( Art. 42 Abs. 2 und Art. 106 Abs. 2 BGG ; nachfolgend Erwägung 3). Für die ebenfalls erhobene subsidiäre Verfassungsbeschwerde besteht kein Raum. Auf sie ist nicht einzutreten ( Art. 113 BGG ).</w:t>
      </w:r>
    </w:p>
    <w:p>
      <w:r>
        <w:rPr>
          <w:b/>
        </w:rPr>
        <w:t>E. 3.1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Dass die von Sachgerichten gezogenen Schlüsse nicht mit der eigenen Darstellung der beschwerdeführenden Partei übereinstimmen, belegt keine Willkür ( BGE 140 III 264 E. 2.3 mit Hinweisen). Erforderlich ist zudem, dass der Entscheid nicht nur in der Begründung, sondern auch im Ergebnis willkürlich ist ( BGE 140 III 16 E. 2.1 mit Hinweisen).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Die Vorinstanz schätzte in der Verfügung vom 22. Juni 2023 den Streitwert im vorliegenden Verfahren auf Fr. 3 Mio., entsprechend 1% der ausgeschütteten ausserordentlichen Dividende. Im angefochtenen Entscheid verwies sie auf diese Verfügung und ging von diesem Streitwert aus. Vor Bundesgericht beanstandet der Beschwerdeführer diese Streitwertschätzung und verlangt, dass die Kosten- und Entschädigungsfolgen des vorinstanzlichen Verfahrens gestützt auf einen Streitwert von Fr. 35'000.--, entsprechend dem Marktwert seiner Aktie, neu zu verlegen seien. Die Vorinstanz habe diesbezüglich Art. 239 ZPO , Art. 9 BV und Art. 29 Abs. 2 BV verletzt sowie eine Rechtsverweigerung begangen.</w:t>
      </w:r>
    </w:p>
    <w:p>
      <w:r>
        <w:rPr>
          <w:b/>
        </w:rPr>
        <w:t>E. 4.2</w:t>
      </w:r>
    </w:p>
    <w:p>
      <w:r>
        <w:t>Der Beschwerdeführer ficht damit die kantonalen Prozesskostenfolgen unabhängig vom Ausgang der Hauptsache an, ohne aber zu beziffern, wie hoch die aufzuerlegenden vorinstanzlichen Gerichtskosten und die Parteientschädigung seiner Ansicht nach sein sollen. Ob der Beschwerdeführer damit den Anforderungen an ein beziffertes Begehren genügt, ist höchst fraglich ( Art. 42 Abs. 1 BGG ; BGE 143 III 111 E. 1.2). Indessen kann seinem Standpunkt ohnehin nicht gefolgt werden: Schätzt die Vorinstanz den Streitwert, wie im vorliegenden Fall, kann dies vor Bundesgericht bloss unter dem Gesichtspunkt der Willkür gerügt werden (Urteile 4A_296/2021 vom 7. September 2021 E. 5.2.1; 4A_542/2017 vom 9. April 2018 E. 4.2.1). Inwiefern die ermessensweise Schätzung des Streitwertes durch die Vorinstanz willkürlich wäre, zeigt der Beschwerdeführer nicht rechtsgenüglich auf, indem er die Schätzung der Vorinstanz als zu hoch qualifiziert und dem Bundesgericht eine andere Berechnung offeriert. Er verkennt, dass Willkür nicht schon dann vorliegt, wenn eine andere Lösung möglich wäre, sondern nur dann, wenn der angefochtene Entscheid offensichtlich unrichtig ist (Erwägung 3.1). Entgegen den Ausführungen des Beschwerdeführers legte die Vorinstanz auch dar, von welchen Überlegungen sie sich bei der Streitwertschätzung leiten liess und auf die sich ihr Entscheid stützt. Sie genügt damit den Begründungsanforderungen nach Art. 29 Abs. 2 BV . Der Anspruch auf rechtliches Gehör ist nicht verletzt ( BGE 143 III 65 E. 5.2 ; 138 I 232 E. 5.1). Inwiefern eine materielle Rechtsverweigerung vorliegen würde, zeigt der Beschwerdeführer nicht nachvollziehbar auf. Mithin kann auf die Rüge nicht eingetreten werden.</w:t>
      </w:r>
    </w:p>
    <w:p>
      <w:r>
        <w:rPr>
          <w:b/>
        </w:rPr>
        <w:t>E. 5.1</w:t>
      </w:r>
    </w:p>
    <w:p>
      <w:r>
        <w:t>Die Vorinstanz kam zum Schluss, der Beschwerdeführer führe nicht aus und es sei auch nicht ersichtlich, weshalb die eingeklagten Informationen für die Ausübung der Aktionärsrechte nach Art. 697 Abs. 2 Satz 1 aOR erforderlich sein sollen.</w:t>
      </w:r>
    </w:p>
    <w:p>
      <w:r>
        <w:t>Sie begründete dies wie folgt: In seinem Gesuch äussere sich der Beschwerdeführer über weite Strecken, weshalb die eingeklagten Informationen im Vorfeld der Generalversammlung vom 22. November 2022 für die Ausübung der Aktionärsrechte erforderlich gewesen seien. Entscheidend sei jedoch, ob die Informationen aktuell für die Ausübung von Aktionärsrechten erforderlich seien. Inwiefern dies der Fall sein soll, lege der Beschwerdeführer nicht dar und sei auch nicht ersichtlich: Über das Traktandum "Genehmigung ausserordentliche Dividendenausschüttung" sei anlässlich der ausserordentlichen Generalversammlung vom 22. November 2022 mit der Zustimmung von 764'808 Namenaktien und einer Gegenstimme (derjenigen des Beschwerdeführers) abschliessend entschieden worden und dem Beschwerdeführer sei die auf seine Aktie entfallende Dividende unterdessen ausbezahlt worden. Die Sache sei erledigt. Eine Anfechtung des Beschlusses komme nicht mehr in Frage, weil die zweimonatige Klagefrist ( Art. 706a OR ) längst abgelaufen sei. Im Übrigen sei weder ersichtlich noch werde geltend gemacht, dass der an der ausserordentlichen Generalversammlung gefällte Beschluss über die Gewinnausschüttung nichtig ( Art. 706b OR ) sein solle. Eine Sonderprüfung sei nie Thema gewesen und der Beschwerdeführer habe nie angetönt, dass er eine Rückforderungsklage (gegen die Aktionäre) und/oder eine Verantwortlichkeitsklage (gegen die Organe der Beschwerdegegnerin) in Betracht ziehe. Dem Beschwerdeführer gehe es nicht um die Wahrnehmung von eigentlichen Aktionärsrechten. Vielmehr kritisiere er, dass die "geplante Devestition" (die unterdessen durchgeführt ist) nicht sinnvoll sei und dass die "Reinvestition in Entwicklungsprojekte hätte dienlicher sein können". Dazu sei einerseits zu bemerken, dass die Gewinnausschüttung längst (rechtmässig) abgeschlossen sei und nicht rückgängig gemacht werden könne. Andererseits sei es nicht Sache der Generalversammlung (und erst recht nicht eines Minderheitsaktionärs mit einer einzigen Aktie von 764'837 Namenaktien) darüber zu bestimmen, was sinnvolle "Devestitionen" und "Reinvestionen" seien. Vielmehr habe der Verwaltungsrat im Rahmen der Oberleitung der Gesellschaft (Art. 716a Abs. 1 lit. aOR) die Unternehmensstrategie festzulegen und in diesem Zusammenhang darüber zu befinden, ob mit dem frei verfügbaren Kapital vielversprechende Geschäftsopportunitäten verfolgt werden können oder ob der Generalversammlung die Ausschüttung des frei verfügbaren Kapitals an die Eigentümer beantragt werden solle. Oder mit anderen Worten: Die Festlegung der Unternehmensstrategie sei kein Aktionärsrecht.</w:t>
      </w:r>
    </w:p>
    <w:p>
      <w:r>
        <w:rPr>
          <w:b/>
        </w:rPr>
        <w:t>E. 5.2</w:t>
      </w:r>
    </w:p>
    <w:p>
      <w:r>
        <w:t>Diese zutreffenden Erwägungen vermag der Beschwerdeführer nicht zu erschüttern. Er behauptet im Wesentlichen bloss, er habe in seinem Gesuch klar dargelegt, dass er an der Willensbildung der Gesellschaft in der ausserordentlichen Generalversammlung beitragen wolle, insbesondere an der Debatte, ob die Ausschüttung der ausserordentlichen Dividende angebracht sei. Er setzt sich damit nicht rechtsgenüglich mit den Erwägungen der Vorinstanz auseinander, noch zeigt er hinreichend auf, inwiefern die von ihm eingeklagten Informationen für die Ausübung seiner Aktionärsrechte im jetzigen Zeitpunkt erforderlich sein sollten, und dass er entgegen der Meinung der Vorinstanz überhaupt Aktionärsrechte geltend macht.</w:t>
      </w:r>
    </w:p>
    <w:p>
      <w:r>
        <w:t>Es bleibt damit bei der Erwägung der Vorinstanz, wonach der Beschwerdeführer nicht dargelegt hat, weshalb die eingeklagten Informationen für die Ausübung seiner Aktionärsrechte erforderlich sein sollen. Vor diesem Hintergrund erübrigt sich mangels Entscheidwesentlichkeit auch, auf die vom Beschwerdeführer vorgebrachten Sachverhaltsrügen in diesem Zusammenhang einzutreten.</w:t>
      </w:r>
    </w:p>
    <w:p>
      <w:r>
        <w:rPr>
          <w:b/>
        </w:rPr>
        <w:t>E. 5.3</w:t>
      </w:r>
    </w:p>
    <w:p>
      <w:r>
        <w:t>Die Vorinstanz legt in der Folge in einer weiteren Erwägung dar, dass es auch keine Anhaltspunkte gebe, dass die Beschwerdegegnerin dem Beschwerdeführer Informationsrechte ungerechtfertigt vorenthalten habe, und dass weitergehende Informationen an den berechtigten Geheimhaltungsinteressen der Beschwerdegegnerin scheitern würden. Nachdem bereits die erste Begründung der Vorinstanz trägt (Erwägung 5.2), braucht auf die zusätzlichen Erwägungen der Vorinstanz, und die dagegen erhobenen Rügen des Beschwerdeführers, nicht eingegangen zu werden.</w:t>
      </w:r>
    </w:p>
    <w:p>
      <w:r>
        <w:rPr>
          <w:b/>
        </w:rPr>
        <w:t>E. 6</w:t>
      </w:r>
    </w:p>
    <w:p>
      <w:r>
        <w:t>Nach dem Ausgeführten ist die Beschwerde abzuweisen, soweit darauf überhaupt eingetreten werden kann. Dem Ausgang des Verfahrens entsprechend wird der Beschwerdeführer kostenpflichtig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