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487/2022 vom 14. November 2022</w:t>
      </w:r>
    </w:p>
    <w:p>
      <w:r>
        <w:t>Bundesgericht, 2022-11-14, DE</w:t>
      </w:r>
    </w:p>
    <w:p>
      <w:r>
        <w:rPr>
          <w:b/>
        </w:rPr>
        <w:t xml:space="preserve">Quelle: </w:t>
      </w:r>
      <w:r>
        <w:t>https://mcp.opencaselaw.ch/entscheid/bger_4A_487_2022</w:t>
      </w:r>
    </w:p>
    <w:p>
      <w:r>
        <w:t>FR: TF 4A 487/2022 du 14 novembre 2022</w:t>
      </w:r>
    </w:p>
    <w:p>
      <w:r>
        <w:t>IT: TF 4A 487/2022 del 14 novembre 2022</w:t>
      </w:r>
    </w:p>
    <w:p>
      <w:pPr>
        <w:pStyle w:val="Heading2"/>
      </w:pPr>
      <w:r>
        <w:t>Regeste</w:t>
      </w:r>
    </w:p>
    <w:p>
      <w:r>
        <w:t>Kostenvorschuss; Nichteintretensentscheide, | Vertragsrecht</w:t>
      </w:r>
    </w:p>
    <w:p>
      <w:pPr>
        <w:pStyle w:val="Heading2"/>
      </w:pPr>
      <w:r>
        <w:t>Erwägungen</w:t>
      </w:r>
    </w:p>
    <w:p>
      <w:r>
        <w:rPr>
          <w:b/>
        </w:rPr>
        <w:t>E. 1</w:t>
      </w:r>
    </w:p>
    <w:p>
      <w:r>
        <w:t>Mit Verfügung vom 11. Februar 2022 lehnte es das Friedensrichteramt der Stadt Zürich (Kreise 1 und 2) ab, den dem Beschwerdeführer im Schlichtungsverfahren auferlegten Kostenvorschuss von Fr. 530.-- zu reduzieren und setzte ihm eine Nachfrist zur Leistung des Kostenvorschusses an, verbunden mit der Androhung, dass bei Nichtleistung auf das Schlichtungsgesuch nicht eingetreten werde. Mit Verfügung vom 23. Februar 2022 trat das Friedensrichteramt der Stadt Zürich (Kreise 1 und 2) auf die Klage des Beschwerdeführers nicht ein, nachdem dieser den Kostenvorschuss für das Schlichtungsverfahren auch innert der mit Verfügung vom 11. Februar 2022 angesetzten Nachfrist nicht geleistet hatte. Der Beschwerdeführer erhob gegen die Verfügung des Friedensrichteramts vom 11. Februar 2022 wie auch gegen diejenige vom 23. Februar 2022 beim Obergericht des Kantons Zürich Beschwerde. Mit Beschluss vom 21. September 2022 wies das Obergericht des Kantons Zürich den Antrag des Beschwerdeführers auf Vereinigung der beiden Beschwerdeverfahren ab; mit Urteil vom gleichen Tag wies es die Beschwerde gegen die Verfügung des Friedensrichteramts vom 11. Februar 2022 ab (Verfahren RU220027-O/U). Mit einem weiteren Beschluss vom 21. September 2022 trat das Obergericht auf die gegen die Verfügung des Friedensrichteramts vom 23. Februar 2022 erhobene Beschwerde nicht ein (Verfahren RU220028-O/U). Mit Eingabe vom 24. Oktober 2022 erklärte der Beschwerdeführer dem Bundesgericht, sowohl den Entscheid RU220027-O/U (Verfahren 4A_487/2022) als auch den Entscheid RU220028-O/U (Verfahren 4A_489/2022) des Obergerichts des Kantons Zürich vom 21. September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Die Beschwerden in den Verfahren 4A_487/2022 und 4A_489/2022, die denselben Rechtsstreit betreffen, werden gemeinsam behandelt.</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Der Beschwerdeführer setzt sich in seiner Beschwerdeeingabe vom 24. Oktober 2022 nicht hinreichend mit den Erwägungen der angefochtenen Entscheide des Obergerichts des Kantons Zürich vom 21. September 2022 auseinander und zeigt nicht rechtsgenügend auf, inwiefern die Vorinstanz mit ihren Entscheiden Bundesrecht verletzt haben soll. So bringt er etwa vor, die Verfahren hätten kostenlos eingestellt werden sollen, ohne jedoch zu begründen, weshalb ein Nichteintretensentscheid ohne Weiteres ohne Kostenauflage hätte erfolgen müssen. Zudem kritisiert er die vorinstanzliche Verweigerung der Verfahrensvereinigung im kantonalen Rechtsmittelverfahren, ohne daraus konkrete Folgen abzuleiten. Auch im Zusammenhang mit dem Streitwert unterbreitet der Beschwerdeführer dem Bundesgericht lediglich in unzulässiger Weise seine Sicht der Dinge zu den Hintergründen des Rechtsstreits. Ebenso wenig zeigt er hinsichtlich der Festsetzung des Kostenvorschusses im Schlichtungsverfahren eine konkrete Bundesrechtsverletzung auf, sondern bezeichnet den konkret verlangten Vorschuss als "legalisierten Diebstahl". Er erwähnt zwar das Willkürverbot, zeigt mit seinen Ausführungen aber offensichtlich nicht hinreichend auf, inwiefern die Vorinstanz Art. 9 BV verletzt haben soll. Auf die Beschwerden ist somit mangels hinreichender Begründung nicht einzutreten ( Art. 108 Abs. 1 lit. b BGG ).</w:t>
      </w:r>
    </w:p>
    <w:p>
      <w:r>
        <w:rPr>
          <w:b/>
        </w:rPr>
        <w:t>E. 3</w:t>
      </w:r>
    </w:p>
    <w:p>
      <w:r>
        <w:t>Das sinngemäss gestellte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