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4A_487/2015 vom 6. Januar 2016</w:t>
      </w:r>
    </w:p>
    <w:p>
      <w:r>
        <w:t>Bundesgericht, 2016-01-06, DE</w:t>
      </w:r>
    </w:p>
    <w:p>
      <w:r>
        <w:rPr>
          <w:b/>
        </w:rPr>
        <w:t xml:space="preserve">Quelle: </w:t>
      </w:r>
      <w:r>
        <w:t>https://mcp.opencaselaw.ch/entscheid/bger_4A_487_2015</w:t>
      </w:r>
    </w:p>
    <w:p>
      <w:r>
        <w:t>FR: TF 4A_487/2015 du 6 janvier 2016</w:t>
      </w:r>
    </w:p>
    <w:p>
      <w:r>
        <w:t>IT: TF 4A_487/2015 del 6 gennaio 2016</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w:t>
      </w:r>
    </w:p>
    <w:p>
      <w:r>
        <w:t>Diesen Anforderungen, die an Sachverhaltsrügen gestellt werden, genügt die Beschwerdeschrift grösstenteils nicht. Von vornherein kann die Beschwerdeführerin dementsprechend nicht gehört werden, soweit sie den Sachverhalt ergänzt haben möchte, ohne im Einzelnen hinreichend begründete Sachverhaltsrügen gemäss den vorstehend genannten Grundsätzen zu erheben. Insbesondere genügt die Beschwerdeschrift diesen Anforderungen nicht, soweit die Beschwerdeführerin darin einfach ihre vor der Erstinstanz vorgetragene Sachverhaltsdarstellung wiederholt. Auf die Sachverhaltsrügen der Beschwerdeführerin ist deshalb nur insoweit einzugehen, als klare Rügen erhoben wurden, die den Begründungsanforderungen genügen.</w:t>
      </w:r>
    </w:p>
    <w:p>
      <w:r>
        <w:rPr>
          <w:b/>
        </w:rPr>
        <w:t>E. 3</w:t>
      </w:r>
    </w:p>
    <w:p>
      <w:r>
        <w:t>Die Vorinstanz erwog, die Beschwerdeführerin behaupte das Vorliegen einer missbräuchlichen Kündigung durch die Beschwerdegegnerin unter drei Gesichtspunkten: Sie werfe der Beschwerdegegnerin im Zusammenhang mit der Kündigung das Treiben eines falschen und verdeckten Spiels, eine Verletzung des Gebots schonender Rechtsausübung und eine Mobbingkündigung vor. Die Beschwerdeführerin rüge dabei, die Erstinstanz habe kein Beweisverfahren durchgeführt und schliesse daraus, dass die Sache an die Erstinstanz zurückzuweisen sei. Entscheidend sei, ob im Sinne von Art. 150 Abs. 1 ZPO rechtserhebliche, streitige Tatsachen vorliegen würden und ob in dieser Hinsicht vor Aktenschluss Beweismittel nach Art. 221 Abs. 1 lit. e ZPO bezeichnet worden seien. Bezüglich des Treibens eines falschen und verdeckten Spiels behaupte die Beschwerdeführerin in der Tat Umstände, die als Treiben eines falschen und verdeckten Spiels und damit als treuwidrig eingestuft werden könnten. Indessen habe die Beschwerdeführerin vor Aktenschluss, d.h. entweder in der erstinstanzlichen Klage- oder Replikschrift, diesen von der Beschwerdegegnerin bestrittenen Behauptungen keine Beweismittel im Sinne von Art. 221 Abs. 1 lit. e ZPO zugeordnet. Es bleibe daher in diesem Zusammenhang kein Raum für ein Beweisverfahren. Daran würden auch die Darlegungen in der Berufungsschrift nichts ändern. Die Beschwerdegegnerin hätte immerhin auch ohne Anordnung eines Bewährungseinsatzes von ihrer Kündigungsfreiheit Gebrauch machen können. Das habe sie indessen nicht getan und sei damit der Beschwerdeführerin weiter entgegengekommen als sie es hätte tun müssen. Auch für die behauptete Verletzung des Gebots schonender Rechtsausübung würden jegliche Beweisanträge zu den massgeblichen Tatsachenbehauptungen fehlen, sodass auch in dieser Hinsicht für ein Beweisverfahren kein Raum bleibe. Schliesslich behaupte die Beschwerdeführerin kein im Sinne eines Mobbings systematisches, feindliches, über einen längeren Zeitraum anhaltendes Verhalten der Beschwerdegegnerin bzw. ihrer Organe und benenne dafür auch keine Beweise. Ihre Beweisanträge in ihrer erstinstanzlichen Klageschrift würden vielmehr äussere Vorgänge, die an und für sich unbestritten seien, betreffen. Es sei daher nach dem Gesagten von keiner missbräuchlichen Kündigung seitens der Beschwerdegegnerin auszugehen, womit der Beschwerdeführerin auch keine Entschädigung nach Art. 336a OR zustehe. Für die geforderte Genugtuung fehle es an einer Persönlichkeitsverletzung und für den geforderten Schadenersatz aufgrund einer angeblichen Verletzung der Fürsorgepflicht nach Art. 328 OR an einer Vertragsverletzung. Bezüglich der beantragten Berichtigung des Arbeitszeugnisses könne auf das Urteil der Erstinstanz verwiesen werden. Auf die Rügen dagegen könne nicht eingetreten bzw. könne der erstinstanzlichen Argumentation gefolgt werden.</w:t>
      </w:r>
    </w:p>
    <w:p>
      <w:r>
        <w:t>Für die Erstattung der von der Beschwerdegegnerin zur Verrechnung gebrachten Restschuld von Fr. 12'979.-- im Zusammenhang mit der Quellensteuerforderung stehe fest, dass der Beschwerdeführerin seitens der Beschwerdegegnerin zugesichert worden sei, dass ihr eine allfällige "Restschuld Quellensteuer" bei ihrem Ausscheiden erlassen würde. Wenn die Beschwerdegegnerin diese Restschuld mit Gegenforderungen der Beschwerdeführerin verrechne, habe sie diese Restschuld nicht erlassen. Stehe der Beschwerdegegnerin aber keine Verrechnungsforderung zu, dann bleibe ein Betrag von Fr. 12'979.-- aus dem Arbeitsverhältnis unbezahlt. In diesem Umfang zuzüglich Zins sei die Klage gutzuheissen.</w:t>
      </w:r>
    </w:p>
    <w:p>
      <w:r>
        <w:rPr>
          <w:b/>
        </w:rPr>
        <w:t>E. 4</w:t>
      </w:r>
    </w:p>
    <w:p>
      <w:r>
        <w:t>Vor Bundesgericht verlangt die Beschwerdeführerin in ihrem Hauptbegehren die Rückweisung der Sache an die Vorinstanz (dazu Erwägung 5). In ihrem Eventualbegehren beantragt sie einerseits aufgrund missbräuchlicher Kündigung eine Entschädigung nach Art. 336a OR , Schadenersatz wegen einer Verletzung der Fürsorgepflicht nach Art. 328 OR und eine Genugtuung sowie andererseits weitere Berichtigungen ihres Arbeitszeugnisses (dazu Erwägung 6).</w:t>
      </w:r>
    </w:p>
    <w:p>
      <w:r>
        <w:rPr>
          <w:b/>
        </w:rPr>
        <w:t>E. 5.1</w:t>
      </w:r>
    </w:p>
    <w:p>
      <w:r>
        <w:t>Die Beschwerdeführerin rügt zunächst, die Erstinstanz bzw. die Vorinstanz hätte ein Beweisverfahren durchführen müssen, da sie ihren Behauptungen zur missbräuchlichen Kündigung Beweismittel zugeordnet und die Mobbingkündigung behauptet habe. Da dies nicht geschehen sei, sei ihr Beweisführungsanspruch, Art. 221 Abs. 1 lit. d und e ZPO und die Verhandlungsmaxime nach Art. 55 ZPO verletzt worden.</w:t>
      </w:r>
    </w:p>
    <w:p>
      <w:r>
        <w:rPr>
          <w:b/>
        </w:rPr>
        <w:t>E. 5.2</w:t>
      </w:r>
    </w:p>
    <w:p>
      <w:r>
        <w:t>Der Beweisführungsanspruch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 4A_540/2014 vom 18. März 2015 E. 2.1).</w:t>
      </w:r>
    </w:p>
    <w:p>
      <w:r>
        <w:t>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w:t>
      </w:r>
    </w:p>
    <w:p>
      <w:r>
        <w:t>zu den behaupteten Tatsachen"; Urteile 4A_452/2013 vom 31. März 2014 E. 2.1; 4A_56/2013 vom 4. Juni 2013 E. 4.4 mit Hinweisen).</w:t>
      </w:r>
    </w:p>
    <w:p>
      <w:r>
        <w:rPr>
          <w:b/>
        </w:rPr>
        <w:t>E. 5.3</w:t>
      </w:r>
    </w:p>
    <w:p>
      <w:r>
        <w:t>Die Vorinstanz ist für die behauptete missbräuchliche Kündigung bezüglich dem Treiben eines falschen und verdeckten Spiels und der Verletzung des Gebots schonender Rechtsausübung zum Schluss gekommen, dass mangels Beweisanträgen, die im Sinne von Art. 221 Abs. 1 lit. e ZPO den Behauptungen zugeordnet seien, kein Raum für ein Beweisverfahren bestehe. Bezüglich der Mobbingkündigung sei nicht auszuschliessen, dass sich die Beschwerdeführerin im Zusammenhang mit den Quellensteuern unter Druck gesetzt fühlte. Solche Spannungen könnten aber in jedem Arbeitsverhältnis vorkommen, wenn Meinungsverschiedenheiten entstünden. Nicht jede Spannung oder Meinungsverschiedenheit sei aber Teil eines Mobbings. Ein im Sinne eines Mobbings systematisches, feindliches, über einen längeren Zeitraum anhaltendes Verhalten der Beschwerdegegnerin behaupte die Beschwerdeführerin nicht und benenne dafür auch keine Beweise. Ihre Beweisanträge in der erstinstanzlichen Klageschrift Rz. 14 - 21 würden vielmehr äussere Vorgänge beschlagen, die an und für sich unbestritten seien.</w:t>
      </w:r>
    </w:p>
    <w:p>
      <w:r>
        <w:rPr>
          <w:b/>
        </w:rPr>
        <w:t>E. 5.4</w:t>
      </w:r>
    </w:p>
    <w:p>
      <w:r>
        <w:t>Mit diesen Erwägungen der Vorinstanz setzt sich die Beschwerdeführerin nicht hinreichend auseinander. Insbesondere genügt es nicht, die vorinstanzlichen Erwägungen als unzutreffend zu bezeichnen und lediglich zu behaupten, dass sie in ihrer erstinstanzlichen Replik ihrer Pflicht nach Art. 221 Abs. 1 lit. e ZPO an anderem Ort nachgekommen sei und die Ausführungen der Beschwerdegegnerin unter Hinweis auf die in der Klage offerierten Beweismittel bestritten habe. Mit diesen Behauptungen werden die Erwägungen der Vorinstanz, wonach es die Beschwerdeführerin versäumt habe, ihren Behauptungen Beweismittel rechtsgenüglich zuzuordnen, gerade nicht widerlegt. Vielmehr hätte die Beschwerdeführerin mit präzisen Aktenhinweisen aufzeigen sollen, dass sie entgegen den Ausführungen der Vorinstanz die Beweismittel im oben erwähnten Sinne von Art. 221 Abs. 1 lit. e ZPO ihren jeweiligen Tatsachenbehauptungen rechtsgenüglich zugeordnet habe. Dies hat sie nicht getan.</w:t>
      </w:r>
    </w:p>
    <w:p>
      <w:r>
        <w:t>Bezüglich der angeblichen Mobbingkündigung zeigt sie zudem insbesondere nicht mit Aktenhinweisen auf, inwiefern sie ein Mobbing, also ein systematisches, feindliches, über einen längeren Zeitraum anhaltendes Verhalten, mit dem eine Person an ihrem Arbeitsplatz isoliert, ausgegrenzt oder gar von ihrem Arbeitsplatz entfernt werden soll (Urteile 4A_714/2014 vom 22. Mai 2015 E. 2.2; 8C_900/2013 vom 5. Mai 2014 E. 4.2; 4A_32/2010 vom 17. Mai 2010 E. 3.2; je mit Hinweisen), einerseits behauptet und andererseits hierfür Beweismittel im Sinne von Art. 221 Abs. 1 lit. e ZPO rechtsgenüglich zugeordnet hätte.</w:t>
      </w:r>
    </w:p>
    <w:p>
      <w:r>
        <w:t>Fehlt es aber an einschlägigen Behauptungen bzw. prozesskonformen Beweisanträgen, wurde zu Recht auf die Durchführung eines Beweisverfahrens verzichtet.</w:t>
      </w:r>
    </w:p>
    <w:p>
      <w:r>
        <w:rPr>
          <w:b/>
        </w:rPr>
        <w:t>E. 5.5</w:t>
      </w:r>
    </w:p>
    <w:p>
      <w:r>
        <w:t>Die Beschwerdeführerin bringt sodann vor, die Vorinstanz habe ihre offerierten Beweismittel ignoriert und damit ihren Beweisführungsanspruch verletzt, indem sie im Zusammenhang mit der "Mobbingkündigung" erwogen habe, ihre Beweisanträge würden äussere Vorgänge beschlagen, die an und für sich unbestritten seien.</w:t>
      </w:r>
    </w:p>
    <w:p>
      <w:r>
        <w:t>Gegenstand des Beweises sind rechtserhebliche, streitige Tatsachen ( Art. 150 Abs. 1 ZPO ). Die Vorinstanz hat die Beweisanträge der Beschwerdeführerin keineswegs ignoriert, vielmehr beachtet (vgl. Erwägung 4.5.5). Sie nahm sie deshalb nicht ab, weil sie äussere Vorgänge, die an und für sich unbestritten seien, beschlagen würden (Erwägung 4.5.5 in fine S. 23). Betrafen die Beweisanträge aber Umstände, welche zum Nachweis eines Mobbings gar nicht geeignet und ohnehin nicht bestritten waren, brauchten sie nicht abgenommen zu werden. Dass die vorinstanzliche Beurteilung der vorgebrachten Umstände als nicht rechtserhebliche Vorgänge willkürlich wäre, wird nicht aufgezeigt. Der Vorwurf der Verletzung des Beweisführungsanspruches erweist sich damit als unbegründet.</w:t>
      </w:r>
    </w:p>
    <w:p>
      <w:r>
        <w:rPr>
          <w:b/>
        </w:rPr>
        <w:t>E. 5.6</w:t>
      </w:r>
    </w:p>
    <w:p>
      <w:r>
        <w:t>Sodann rügt die Beschwerdeführerin auch betreffend der verlangten Berichtigung des Arbeitszeugnisses eine Verletzung des Beweisführungsanspruchs, da die Vorinstanz ihre vorgebrachten Beweise nicht abgenommen habe.</w:t>
      </w:r>
    </w:p>
    <w:p>
      <w:r>
        <w:t>Die Vorinstanz erwog hierzu, dass die Erstinstanz dargelegt habe, weshalb die im Arbeitszeugnis von der Beschwerdegegnerin gewählte Umschreibung des Tätigkeitsbereichs der Beschwerdeführerin nicht zu beanstanden sei. Sie habe dabei namentlich auf die fehlenden Beweisanträge der Beschwerdeführerin hingewiesen. Entgegen ihrer gesetzlichen Obliegenheit setze sich die Beschwerdeführerin mit dieser Argumentation der Erstinstanz nicht auseinander. Mit dem Novenverbot von Art. 317 Abs. 1 ZPO sei es sodann nicht vereinbar, wenn die Beschwerdeführerin auf erst mit der Berufung vorgetragene Beweismittel verweise.</w:t>
      </w:r>
    </w:p>
    <w:p>
      <w:r>
        <w:t>Auch mit diesen Erwägungen der Vorinstanz setzt sich die Beschwerdeführerin nicht hinreichend auseinander, sodass darauf nicht einzutreten ist. Insbesondere zeigt sie nicht hinreichend auf, dass sie sich entgegen der Auffassung der Vorinstanz mit der Argumentation der Erstinstanz auseinandergesetzt oder zu welchen konkreten Behauptungen sie welche Beweismittel prozesskonform eingebracht habe.</w:t>
      </w:r>
    </w:p>
    <w:p>
      <w:r>
        <w:rPr>
          <w:b/>
        </w:rPr>
        <w:t>E. 5.7</w:t>
      </w:r>
    </w:p>
    <w:p>
      <w:r>
        <w:t>Dem Hauptbegehren der Beschwerdeführerin kann nach dem Gesagten nicht entsprochen werden.</w:t>
      </w:r>
    </w:p>
    <w:p>
      <w:r>
        <w:rPr>
          <w:b/>
        </w:rPr>
        <w:t>E. 6.1</w:t>
      </w:r>
    </w:p>
    <w:p>
      <w:r>
        <w:t>In ihrem Eventualbegehren wiederholt die Beschwerdeführerin vor Bundesgericht die Behauptung einer missbräuchlichen Kündigung durch die Beschwerdegegnerin. Sie stützt sich aber dabei lediglich auf tatsächliche Elemente, die vom vorinstanzlich festgestellten Sachverhalt abweichen, ohne Sachverhaltsrügen nach den obgenannten Voraussetzungen zu erheben (dazu Erwägungen 2.2). Inwiefern die Kündigung der Beschwerdegegnerin unter Zugrundelegung des vorinstanzlich festgestellten Sachverhalts missbräuchlich wäre, legt die Beschwerdeführerin nicht dar. Da damit von keiner missbräuchlichen Kündigung durch die Beschwerdegegnerin auszugehen ist, entfällt auch eine Entschädigung nach Art. 336a OR .</w:t>
      </w:r>
    </w:p>
    <w:p>
      <w:r>
        <w:rPr>
          <w:b/>
        </w:rPr>
        <w:t>E. 6.2.1</w:t>
      </w:r>
    </w:p>
    <w:p>
      <w:r>
        <w:t>Die Beschwerdeführerin bringt weiter vor, die Beschwerdegegnerin habe ihre Fürsorgepflicht nach Art. 328 OR verletzt und fordert hierfür Schadenersatz.</w:t>
      </w:r>
    </w:p>
    <w:p>
      <w:r>
        <w:t>Die Beschwerdeführerin verweist für die Pflichtwidrigkeit einzig auf ihre Ausführungen zur missbräuchlichen Kündigung. Da nach dem Gesagten nicht von einer missbräuchlichen Kündigung der Beschwerdegegnerin auszugehen ist und ihr sonst kein pflichtwidriges Verhalten angelastet wird, fehlt es an einer Vertragsverletzung, womit einem allfälligen Schadenersatzanspruch von vornherein der Boden entzogen ist. Ebenso hinfällig wird damit ihr prozessualer Antrag auf Einholung eines Gutachtens zur Bestimmung des Haushaltsschadens, ohne dass entschieden werden muss, ob ein solcher Antrag aufgrund der Sachverhaltsbindung des Bundesgerichts überhaupt zulässig wäre.</w:t>
      </w:r>
    </w:p>
    <w:p>
      <w:r>
        <w:rPr>
          <w:b/>
        </w:rPr>
        <w:t>E. 6.2.2</w:t>
      </w:r>
    </w:p>
    <w:p>
      <w:r>
        <w:t>Sodann fordert die Beschwerdeführerin zusätzlich zur Entschädigung im Sinne von Art. 336a OR eine Genugtuung von Fr. 20'000.--.</w:t>
      </w:r>
    </w:p>
    <w:p>
      <w:r>
        <w:t>Auch ihren Anspruch auf Genugtuung begründet die Beschwerdeführerin lediglich damit, dass eine missbräuchliche Kündigung, namentlich ein Mobbing, vorliege, womit auch die Voraussetzungen für eine Genugtuung erfüllt seien. Da nach dem Gesagten nicht von einer missbräuchlichen Kündigung auszugehen ist, fällt auch ein Anspruch auf Genugtuung gestützt darauf ausser Betracht.</w:t>
      </w:r>
    </w:p>
    <w:p>
      <w:r>
        <w:rPr>
          <w:b/>
        </w:rPr>
        <w:t>E. 6.3</w:t>
      </w:r>
    </w:p>
    <w:p>
      <w:r>
        <w:t>Für die verlangte Berichtigung des Arbeitszeugnisses stützt sich die Beschwerdeführerin einerseits auf Tatsachenvorbringen, die vom vorinstanzlich festgestellten Sachverhalt abweichen, ohne hinreichende Sachverhaltsrügen zu erheben (dazu Erwägungen 2.2), worauf nicht einzutreten ist. Andererseits begründet sie die verlangten Berichtigungen mit der missbräuchlichen Kündigung durch die Beschwerdegegnerin. Da nicht von einer missbräuchlichen Kündigung auszugehen ist, entfällt auch eine Berichtigung des Arbeitszeugnisses gestützt darauf. Im Weiteren wiederholt sie lediglich ihre bereits vor der Vorinstanz vorgebrachten Argumente, warum das Arbeitszeugnis bezüglich Tätigkeitsbereich, Arbeitsqualität und Verhalten geändert werden solle, ohne indessen auf die Erwägungen der Vorinstanz hinreichend konkret einzugehen und ohne rechtsgenüglich aufzuzeigen, welche Rechte die Vorinstanz mit ihrem Entscheid inwiefern verletzt haben soll. Auch diese Rügen gehen damit fehl.</w:t>
      </w:r>
    </w:p>
    <w:p>
      <w:r>
        <w:rPr>
          <w:b/>
        </w:rPr>
        <w:t>E. 6.4</w:t>
      </w:r>
    </w:p>
    <w:p>
      <w:r>
        <w:t>Die Beschwerdeführerin beantragt zuletzt eine andere Verteilung der vorinstanzlichen Gerichtskosten und Parteientschädigung. Sie begründet dies aber nur für den Fall der Gutheissung ihrer Beschwerde. Da die Beschwerde nach dem vorstehend Gesagten nicht gutgeheissen werden kann, ist auch diesen Anträgen von vornherein nicht zu entsprechen.</w:t>
      </w:r>
    </w:p>
    <w:p>
      <w:r>
        <w:rPr>
          <w:b/>
        </w:rPr>
        <w:t>E. 7</w:t>
      </w:r>
    </w:p>
    <w:p>
      <w:r>
        <w:t>Nach dem Ausgeführten ist die Beschwerde abzuweisen, soweit auf sie eingetreten werden kann.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