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4A_486/2023 vom 26. April 2024</w:t>
      </w:r>
    </w:p>
    <w:p>
      <w:r>
        <w:t>Bundesgericht, 2024-04-26, FR</w:t>
      </w:r>
    </w:p>
    <w:p>
      <w:r>
        <w:rPr>
          <w:b/>
        </w:rPr>
        <w:t xml:space="preserve">Quelle: </w:t>
      </w:r>
      <w:r>
        <w:t>https://mcp.opencaselaw.ch/entscheid/bger_4A_486_2023</w:t>
      </w:r>
    </w:p>
    <w:p>
      <w:r>
        <w:t>FR: TF 4A_486/2023 du 26 avril 2024</w:t>
      </w:r>
    </w:p>
    <w:p>
      <w:r>
        <w:t>IT: TF 4A_486/2023 del 26 aprile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celle-ci n'a pas été rendue dans l'une des langues officielles de la Confédération suisse, il a pour pratique de conduire la procédure d'instruction et de rendre son arrêt dans la langue du recours. Lorsque le recours a été rédigé en anglais comme le permet l' art. 77 al. 2bis LTF , il détermine librement la langue de la procédure. A cet égard, il peut tenir compte, conformément au principe constitutionnel de célérité (art. 29 al. 1 de la Constitution fédérale de la Confédération suisse [Cst.; RS 101]), de l'équilibre de la charge de travail des sections linguistiques de la cour chargée de l'affaire (arrêts 4A_184/2022 du 8 mars 2023 consid. 1 non publié in ATF 149 III 277 ; 4A_300/2021 du 11 novembre 2021 consid. 1; 4A_382/2021 du 24 septembre 2021 consid. 1). Une fois la langue de la procédure arrêtée, celle-ci demeure en principe la même tout au long de la procédure. La partie recourante qui rédige son mémoire de recours en anglais et qui se plaint de ce que la procédure d'instruction est conduite dans une autre langue officielle que celle qu'elle aurait voulue ne peut en principe pas prétendre au changement de la langue de la procédure (ordonnance du 3 juin 2021 dans la cause 4A_300/2021; CARRUZZO/KISS, Les particularités du contrôle des sentences exercé par le Tribunal fédéral suisse en matière d'arbitrage international, in SJ 2023 p. 648).</w:t>
      </w:r>
    </w:p>
    <w:p>
      <w:r>
        <w:t>En l'occurrence, la sentence attaquée a été rendue en espagnol, tandis que le recours a été rédigé en anglais. La procédure d'instruction devant le Tribunal fédéral a été conduite en français. La Cour de céans rendra, par conséquent, son arrêt en français.</w:t>
      </w:r>
    </w:p>
    <w:p>
      <w:r>
        <w:rPr>
          <w:b/>
        </w:rPr>
        <w:t>E. 2</w:t>
      </w:r>
    </w:p>
    <w:p>
      <w:r>
        <w:t>Dans le domaine de l'arbitrage international, le recours en matière civile est recevable aux conditions prévues aux art. 190 à 192 LDIP, conformément à l' art. 77 al. 1 let. a LTF .</w:t>
      </w:r>
    </w:p>
    <w:p>
      <w:r>
        <w:t>En l'espèce, le siège de l'arbitrage a été fixé à Genève. Les deux parties n'avaient pas leur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la recourante, aucune de ces conditions de recevabilité ne fait problème en l'espèce. Rien ne s'oppose, dès lors, à l'entrée en matière. Demeure réservé l'examen de la recevabilité, sous l'angle de leur motivation, des critiques formulées par l'intéressée.</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4.3</w:t>
      </w:r>
    </w:p>
    <w:p>
      <w:r>
        <w:t>La recourante méconnaît ces principes lorsque, dans la rubrique de son mémoire intitulée "In fact", elle invite la Cour de céans à se référer aux écritures et pièces figurant au dossier de la procédure d'arbitrage et expose, sur plusieurs pages, une version de son propre cru des circonstances factuelles de la cause en litige, sans formellement soulever de grief à l'encontre de l'état de fait de la sentence attaquée. Aussi n'y a-t-il pas lieu de tenir compte de la version des faits proposée par l'intéressée.</w:t>
      </w:r>
    </w:p>
    <w:p>
      <w:r>
        <w:rPr>
          <w:b/>
        </w:rPr>
        <w:t>E. 5</w:t>
      </w:r>
    </w:p>
    <w:p>
      <w:r>
        <w:t>Dans un unique moyen, la recourante, invoquant l' art. 190 al. 2 let . e LDIP, soutient que le Tribunal arbitral a rendu une sentence incompatible avec l'ordre public.</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5.1.1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matériel,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w:t>
      </w:r>
    </w:p>
    <w:p>
      <w:r>
        <w:rPr>
          <w:b/>
        </w:rPr>
        <w:t>E. 5.1.2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5.2</w:t>
      </w:r>
    </w:p>
    <w:p>
      <w:r>
        <w:t>En l'occurrence, le Tribunal arbitral a considéré que la recourante avait enfreint l'art. V du TBI en expropriant l'investissement de l'intimée sans lui verser de compensation adéquate et effective. A cet égard, il a notamment retenu que l'État concerné, en fixant des prix maximaux pour diverses marchandises, avait contraint D.________ à vendre au moins 70 % de ses produits à des montants inférieurs à ses coûts de production, à partir du 1er avril 2012, ce qui avait généré des pertes substantielles ayant rendu ladite entreprise non viable. Il a aussi souligné que la dévaluation de la monnaie de l'État concerné en février 2013, la pénurie de devises étrangères et la réglementation édictée par celui-ci en matière d'échange de devises avaient limité la capacité de D.________ à importer les produits nécessaires à la confection de ses propres marchandises. L'État défendeur avait en outre empêché sans droit D.________ de récupérer, pendant plus de deux ans, des crédits d'impôt sur la taxe sur la valeur ajoutée, aggravant ainsi sa situation économique. Sur la base de ces éléments, le Tribunal arbitral a considéré que la demanderesse avait subi une perte progressive de contrôle et de valeur sur son investissement en raison des mesures adoptées par l'État défendeur, raison pour laquelle elle avait été victime d'une forme d'expropriation indirecte.</w:t>
      </w:r>
    </w:p>
    <w:p>
      <w:r>
        <w:rPr>
          <w:b/>
        </w:rPr>
        <w:t>E. 5.3</w:t>
      </w:r>
    </w:p>
    <w:p>
      <w:r>
        <w:t>Dans son mémoire de recours, l'intéressée reproche au Tribunal arbitral d'avoir abouti à une solution infondée, arbitraire et contredite par les faits constatés. Pour étayer pareille affirmation péremptoire, elle se contente toutefois de formuler des critiques appellatoires à l'encontre de la sentence entreprise, en présentant sa propre version des faits et en substituant son appréciation personnelle de divers moyens de preuve à celle du Tribunal arbitral. Elle soutient notamment que, contrairement à ce qu'ont retenu les arbitres, la perte de contrôle de l'intimée sur son investissement n'est pas établie. En argumentant de la sorte, elle confond à l'évidence le Tribunal fédéral avec une juridiction d'appel qui pourrait revoir librement les tenants et aboutissants de l'affaire et ne cherche, en vain, qu'à refaire le procès devant la Cour de céans sans se croire liée, de surcroît, par les faits retenus dans la sentence entreprise. La recourante essaie en outre d'entraîner le Tribunal fédéral sur le terrain de l'application du droit matériel et de l'inciter indirectement à se prononcer sur la motivation juridique retenue par les arbitres, ce qui n'est pas admissible. La recevabilité du moyen pris de la contrariété à l'ordre public matériel apparaît ainsi des plus douteuses.</w:t>
      </w:r>
    </w:p>
    <w:p>
      <w:r>
        <w:t>Quoi qu'il en soit, le grief invoqué ne saurait prospérer. La recourante se limite, en effet, à affirmer que la décision attaquée contrevient au droit applicable, à s'en prendre à la motivation des arbitres, à remettre en cause certaines constatations de fait et à critiquer l'appréciation des preuves. Ce faisant, elle échoue manifestement à établir que le résultat auquel a abouti le Tribunal arbitral serait incompatible avec l'ordre public matériel, ce qui seul importe ici. Pour le reste, la Cour de céans se bornera, sur ce point, à renvoyer l'intéressée aux explications convaincantes fournies par l'intimée dans sa réponse - non contredites par son adversaire -, qu'elle fait siennes.</w:t>
      </w:r>
    </w:p>
    <w:p>
      <w:r>
        <w:rPr>
          <w:b/>
        </w:rPr>
        <w:t>E. 6</w:t>
      </w:r>
    </w:p>
    <w:p>
      <w:r>
        <w:t>Au vu de ce qui précède, le recours doit être rejeté dans la faible mesure de sa recevabilité. 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