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4A_486/2010 vom 21. März 2011</w:t>
      </w:r>
    </w:p>
    <w:p>
      <w:r>
        <w:t>Bundesgericht, 2011-03-21, FR</w:t>
      </w:r>
    </w:p>
    <w:p>
      <w:r>
        <w:rPr>
          <w:b/>
        </w:rPr>
        <w:t xml:space="preserve">Quelle: </w:t>
      </w:r>
      <w:r>
        <w:t>https://mcp.opencaselaw.ch/entscheid/bger_4A_486_2010</w:t>
      </w:r>
    </w:p>
    <w:p>
      <w:r>
        <w:t>FR: TF 4A_486/2010 du 21 mars 2011</w:t>
      </w:r>
    </w:p>
    <w:p>
      <w:r>
        <w:t>IT: TF 4A_486/2010 del 21 marzo 2011</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ont utilisé l'anglais. Dans le mémoire qu'il a adressé au Tribunal fédéral, le recourant a employé le français. Conformément à sa pratique, le Tribunal fédéral adoptera la langue du recours et rendra, par conséquent, son arrêt en français.</w:t>
      </w:r>
    </w:p>
    <w:p>
      <w:r>
        <w:rPr>
          <w:b/>
        </w:rPr>
        <w:t>E. 2</w:t>
      </w:r>
    </w:p>
    <w:p>
      <w:r>
        <w:t>La recevabilité du recours suppose, entre autres conditions, que les parties n'aient pas exclu la possibilité d'interjeter un recours au sens de l' art. 190 LDIP .</w:t>
      </w:r>
    </w:p>
    <w:p>
      <w:r>
        <w:rPr>
          <w:b/>
        </w:rPr>
        <w:t>E. 2.1</w:t>
      </w:r>
    </w:p>
    <w:p>
      <w:r>
        <w:t>L' art. 192 al. 1 LDIP prévoit que,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 art. 190 al. 2 LDIP .</w:t>
      </w:r>
    </w:p>
    <w:p>
      <w:r>
        <w:t>La jurisprudence fédérale a dégagé progressivement les principes découlant de cette disposition. Il en ressort, en substance, que la pratique n'admet que de manière restrictive les conventions d'exclusion et qu'elle juge insuffisante une renonciation indirecte. S'agissant de la renonciation directe, elle ne doit pas forcément comporter la mention de l' art. 190 LDIP et/ou de l' art. 192 LDIP . Il suffit que la déclaration expresse des parties fasse ressortir de manière claire et nette leur volonté commune de renoncer à tout recours. Savoir si tel est bien le cas est affaire d'interprétation ( ATF 134 III 260 consid. 3.1 et les arrêts cités).</w:t>
      </w:r>
    </w:p>
    <w:p>
      <w:r>
        <w:rPr>
          <w:b/>
        </w:rPr>
        <w:t>E. 2.2</w:t>
      </w:r>
    </w:p>
    <w:p>
      <w:r>
        <w:t>En l'espèce, le recourant était domicilié en Tunisie et l'intimée avait son siège en France au moment de la conclusion du Shareholders' Agreement du 4 septembre 2000 incluant la clause arbitrale. Ladite clause, reproduite ici dans sa version originale, contient notamment le passage suivant:</w:t>
      </w:r>
    </w:p>
    <w:p>
      <w:r>
        <w:t>"Neither party shall be entitled to commence or maintain any action in a court of law upon any matter in dispute arising from or concerning this Agreement or a breach thereof except for the enforcement of any award rendered pursuant to arbitration under this Agreement. The decision of the arbitration shall be final and binding and neither party shall have any right to appeal such decision to any court of law." (texte mis en évidence par le Tribunal fédéral).</w:t>
      </w:r>
    </w:p>
    <w:p>
      <w:r>
        <w:t>L'intimée traduit ainsi, sans être contredite par le recourant, le passage en gras de la clause précitée: "La Sentence arbitrale sera finale et obligatoire et aucune des parties n'aura le droit de faire appel de cette Sentence devant tout tribunal étatique" (réponse, n° 49).</w:t>
      </w:r>
    </w:p>
    <w:p>
      <w:r>
        <w:t>Considérée à la lumière des principes jurisprudentiels rappelés plus haut, la clause citée constitue assurément une renonciation valable au recours. Elle fait ressortir, sans conteste, la commune volonté des parties de renoncer à tout droit de recourir contre toute décision du Tribunal arbitral devant quelque tribunal étatique que ce soit. Cette volonté d'exclure tout recours contre une telle décision, qui ressort clairement du passage en gras de la clause arbitrale, est encore renforcée et confirmée indirectement par la phrase qui précède ce passage; il en appert, en effet, que les tribunaux étatiques ne pourront être saisis par aucune des parties, sinon pour obtenir l'exequatur d'une sentence rendue par le Tribunal arbitral.</w:t>
      </w:r>
    </w:p>
    <w:p>
      <w:r>
        <w:t>Pour le surplus, la renonciation dont il est ici question ressemble fortement à celle qui a été traitée dans l'arrêt publié aux ATF 131 III 173 consid. 4.2.3.2. Il peut donc être renvoyé, mutatis mutandis, aux motifs énoncés dans cet arrêt en précisant que, dans la présente affaire comme dans celle ayant donné lieu au précédent cité, le mot "appeal" doit manifestement être compris dans son acception générique.</w:t>
      </w:r>
    </w:p>
    <w:p>
      <w:r>
        <w:t>Les parties ont ainsi valablement renoncé à recourir contre toute décision du Tribunal arbitral. Pareille renonciation s'applique non seulement à la sentence finale, laissée intacte par le recourant, mais encore à la sentence rectificative présentement attaquée, celle-ci ne constituant que l'accessoire de celle-là dont elle partage le sort ( ATF 131 III 164 consid. 1.1 et l'arrêt cité). Dès lors, le recours soumis à l'examen du Tribunal fédéral doit être déclaré irrecevable.</w:t>
      </w:r>
    </w:p>
    <w:p>
      <w:r>
        <w:rPr>
          <w:b/>
        </w:rPr>
        <w:t>E. 3</w:t>
      </w:r>
    </w:p>
    <w:p>
      <w:r>
        <w:t>Le recourant, qui succombe, devra payer les frais de la procédure fédérale ( art. 66 al. 1 LTF ) et verser des dépens à l'intimée ( art. 68 al. 1 et 2 LTF ); ceux-ci seront prélevés sur les sûretés déposées par lui à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