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486/2007 vom 14. Februar 2008</w:t>
      </w:r>
    </w:p>
    <w:p>
      <w:r>
        <w:t>Bundesgericht, 2008-02-14, FR</w:t>
      </w:r>
    </w:p>
    <w:p>
      <w:r>
        <w:rPr>
          <w:b/>
        </w:rPr>
        <w:t xml:space="preserve">Quelle: </w:t>
      </w:r>
      <w:r>
        <w:t>https://mcp.opencaselaw.ch/entscheid/bger_4A_486_2007</w:t>
      </w:r>
    </w:p>
    <w:p>
      <w:r>
        <w:t>FR: TF 4A 486/2007 du 14 février 2008</w:t>
      </w:r>
    </w:p>
    <w:p>
      <w:r>
        <w:t>IT: TF 4A 486/2007 del 14 febbraio 2008</w:t>
      </w:r>
    </w:p>
    <w:p>
      <w:pPr>
        <w:pStyle w:val="Heading2"/>
      </w:pPr>
      <w:r>
        <w:t>Regeste</w:t>
      </w:r>
    </w:p>
    <w:p>
      <w:r>
        <w:t>contrat de travail; licenciement avec effet immédiat | Droit des contrats</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Se référant à l' ATF 127 III 351 , la recourante reproche à la cour cantonale d'avoir omis de prendre en considération, dans l'appréciation de la gravité de l'atteinte à la personnalité de A.________, « les événements qui ont précédé le geste du 1er décembre 2006 », ainsi que l'ensemble des circonstances qui prévalaient au moment du comportement litigieux. Elle invoque le fait qu'avant l'incident de décembre 2006, elle n'a jamais pris à partie A.________. De même, elle souligne le fait que celui-ci a pu lui baisser le bras sans difficulté et rappelle qu'à la suite de l'incident, elle a repris son travail et que son supérieur a, encore une fois, tenté de lui expliquer la situation. Elle ajoute enfin que sa propension à l'énervement ne saurait être considérée comme un élément justifiant un « certain impact » sur la personnalité de A.________. Ainsi, les faits retenus par les juges cantonaux, dont la recourante ne requiert la rectification que sur un seul point (cf. infra, consid. 3), ne constituent pas une atteinte grave à la personnalité d'un collègue, telle que définie par la jurisprudence du Tribunal fédéral.</w:t>
      </w:r>
    </w:p>
    <w:p>
      <w:r>
        <w:rPr>
          <w:b/>
        </w:rPr>
        <w:t>E. 3</w:t>
      </w:r>
    </w:p>
    <w:p>
      <w:r>
        <w:t>Selon la recourante, l'état de fait est incomplet s'agissant des propos tenus par A.________, qui n'ont été repris que partiellement dans l'arrêt attaqué, alors qu'ils figurent intégralement dans le premier jugement.</w:t>
      </w:r>
    </w:p>
    <w:p>
      <w:r>
        <w:rPr>
          <w:b/>
        </w:rPr>
        <w:t>E. 3.1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(art. 97 al. 1 in fine LTF). La notion de "manifestement inexacte" évoquée ci-dessus correspond à celle d'arbitraire au sens de l' art. 9 Cst. (cf. Message du 28 février 2001 concernant la révision totale de l'organisation judiciaire fédérale, FF 2001 4135, ch. 4.1.4.2).</w:t>
      </w:r>
    </w:p>
    <w:p>
      <w:r>
        <w:rPr>
          <w:b/>
        </w:rPr>
        <w:t>E. 3.2</w:t>
      </w:r>
    </w:p>
    <w:p>
      <w:r>
        <w:t>Il ressort du jugement attaqué que les juges cantonaux n'ont pas omis de prendre en considération la déposition de A.________, mais qu'ils ont estimé qu'il n'était pas nécessaire de la retranscrire en entier, faute de pertinence. Les magistrats ont en effet pris soin de mentionner que A.________ a « notamment » déclaré « ce qui suit », tout en indiquant au terme des propos reproduits une parenthèse contenant trois points de suspension. Par ailleurs, le fait, qui ressort de la déposition en question, selon lequel A.________ n'a jamais eu de problème avec la recourante avant l'incident litigieux est, comme on le verra ci-après (cf. consid. 4.2), sans pertinence. Le grief tombe donc à faux. Il convient enfin d'observer que si la recourante revient sur l'absence de rapport de force existant entre elle-même et A.________, elle n'invoque - en lien avec cette constatation - aucune exception au sens de l' art. 105 al. 2 LTF . Cela étant, il ne se justifie pas de s'écarter des faits tels que retenus par l'autorité cantonale.</w:t>
      </w:r>
    </w:p>
    <w:p>
      <w:r>
        <w:rPr>
          <w:b/>
        </w:rPr>
        <w:t>E. 4.1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et les arrêts cités).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213 consid. 3.1 et les arrêts cités). Des comportements violents, comme des menaces, peuvent justifier une résiliation immédiate pour justes motifs, pour autant qu'ils atteignent une certaine intensité, compte tenu de l'ensemble des circonstances du cas d'espèce. Il ne faut à cet égard pas perdre de vue que, conformément à l' art. 328 CO , l'employeur doit protéger, dans les rapports de travail, la personnalité du travailleur (cf. ATF 127 III 351 consid. 4b/dd).</w:t>
      </w:r>
    </w:p>
    <w:p>
      <w:r>
        <w:rPr>
          <w:b/>
        </w:rPr>
        <w:t>E. 4.2</w:t>
      </w:r>
    </w:p>
    <w:p>
      <w:r>
        <w:t>Il a été constaté en fait que, peu avant l'altercation, A.________ était penché en direction de la recourante, qui était assise. C'est alors que celle-ci, sans avoir été provoquée, a mis le cutter qu'elle avait dans ses mains - comme instrument de travail - à la hauteur des yeux de son supérieur en décollant de sa chaise. Un tel geste, qui comporte un danger évident pour la victime dont le visage était ostensiblement visé, revêt un degré de gravité élevé. Le fait que A.________ ait maîtrisé la recourante en lui baissant le bras, puis qu'il ait voulu discuter avec celle-ci, ne saurait en aucun cas légitimer l'acte incriminé. En agissant ainsi, le supérieur hiérarchique a manifestement essayé de calmer la situation pour éviter une récidive spontanée de l'employée, qui se trouvait être dans un état d'énervement certain au moment des faits. Face au comportement litigieux, qui est intervenu de manière subite et qui émanait unilatéralement d'une personne, qui n'était pas, avant les faits, en situation conflictuelle avec la victime, l'employeur se devait de protéger la personnalité de ses employés, en particulier celle de A.________. Il le devait d'autant plus qu'il est établi que la recourante s'énervait assez vite. Dans ces circonstances, l'employeur pouvait à bon droit considérer que le rapport de confiance existant entre lui-même et la recourante était irrémédiablement rompu au point de rendre impossible la continuation du contrat de travail jusqu'au plus prochain terme de résiliation. L'autorité cantonale n'a donc pas abusé de son large pouvoir d'appréciation en ayant considéré que le licenciement immédiat de la recourante était justifié. Le grief est donc infondé.</w:t>
      </w:r>
    </w:p>
    <w:p>
      <w:r>
        <w:rPr>
          <w:b/>
        </w:rPr>
        <w:t>E. 5</w:t>
      </w:r>
    </w:p>
    <w:p>
      <w:r>
        <w:t>Sur le vu de ce résultat, il n'y a pas lieu d'examiner la critique se rapportant à l'octroi d'une indemnité au sens de l' art. 337c al. 3 CO .</w:t>
      </w:r>
    </w:p>
    <w:p>
      <w:r>
        <w:rPr>
          <w:b/>
        </w:rPr>
        <w:t>E. 6</w:t>
      </w:r>
    </w:p>
    <w:p>
      <w:r>
        <w:t>Au terme de cet examen, le recours ne peut qu'être rejeté dans la mesure de sa recevabilité.</w:t>
      </w:r>
    </w:p>
    <w:p>
      <w:r>
        <w:rPr>
          <w:b/>
        </w:rPr>
        <w:t>E. 7</w:t>
      </w:r>
    </w:p>
    <w:p>
      <w:r>
        <w:t>Les frais judiciaires, calculés par application de l' art. 65 al. 4 let . c LTF, seront mis à la charge de la recourante, qui succombe ( art. 66 al. 1 LTF ). Celle-ci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