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485/2020 vom 14. Oktober 2020</w:t>
      </w:r>
    </w:p>
    <w:p>
      <w:r>
        <w:t>Bundesgericht, 2020-10-14, FR</w:t>
      </w:r>
    </w:p>
    <w:p>
      <w:r>
        <w:rPr>
          <w:b/>
        </w:rPr>
        <w:t xml:space="preserve">Quelle: </w:t>
      </w:r>
      <w:r>
        <w:t>https://mcp.opencaselaw.ch/entscheid/bger_4A_485_2020</w:t>
      </w:r>
    </w:p>
    <w:p>
      <w:r>
        <w:t>FR: TF 4A 485/2020 du 14 octobre 2020</w:t>
      </w:r>
    </w:p>
    <w:p>
      <w:r>
        <w:t>IT: TF 4A 485/2020 del 14 ottobre 2020</w:t>
      </w:r>
    </w:p>
    <w:p>
      <w:pPr>
        <w:pStyle w:val="Heading2"/>
      </w:pPr>
      <w:r>
        <w:t>Regeste</w:t>
      </w:r>
    </w:p>
    <w:p>
      <w:r>
        <w:t>contrat de travail, | Droit des contrats</w:t>
      </w:r>
    </w:p>
    <w:p>
      <w:pPr>
        <w:pStyle w:val="Heading2"/>
      </w:pPr>
      <w:r>
        <w:t>Erwägungen</w:t>
      </w:r>
    </w:p>
    <w:p>
      <w:r>
        <w:rPr>
          <w:b/>
        </w:rPr>
        <w:t>E. 1</w:t>
      </w:r>
    </w:p>
    <w:p>
      <w:r>
        <w:t>Les conditions de recevabilité du recours en matière civile sont satisfaites, notamment à raison de la valeur litigieuse.</w:t>
      </w:r>
    </w:p>
    <w:p>
      <w:r>
        <w:rPr>
          <w:b/>
        </w:rPr>
        <w:t>E. 2.1</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Le Tribunal fédéral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 Encore faut-il que la correction du vice soit susceptible d'influer sur le sort de la cause ( art. 97 al. 1 LTF ). 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démontrer, par des renvois précis aux pièces du dossier, qu'elle a présenté aux autorités précédentes, en conformité avec les règles de la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 Les critiques de nature appellatoire sont irrecevables ( ATF 130 I 258 consid. 1.3 p. 261 s.). 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p. 234; 136 III 552 consid. 4.2 p. 560; 134 V 53 consid. 4.3 p. 62; 133 II 249 consid. 1.4.3 p. 254; 129 I 8 consid. 2.1 p. 9). Il ne suffit pas qu'une appréciation différente puisse être tenue pour également concevable, ou apparaisse même préférable ( ATF 144 I 170 consid. 7.3; 142 II 369 consid. 4.3; 140 III 167 consid. 2.1).</w:t>
      </w:r>
    </w:p>
    <w:p>
      <w:r>
        <w:rPr>
          <w:b/>
        </w:rPr>
        <w:t>E. 2.2</w:t>
      </w:r>
    </w:p>
    <w:p>
      <w:r>
        <w:t>Dans son mémoire, le recourant présente un exposé des faits qui ne contient aucune critique satisfaisant aux exigences de l' art. 106 al. 2 LTF . Il n'en sera dès lors pas tenu compte.</w:t>
      </w:r>
    </w:p>
    <w:p>
      <w:r>
        <w:rPr>
          <w:b/>
        </w:rPr>
        <w:t>E. 2.3</w:t>
      </w:r>
    </w:p>
    <w:p>
      <w:r>
        <w:t>Le recours en matière civile peut être exercé pour violation du droit fédéral ( art. 95 let. a LTF ), y compris le droit constitutionnel ( ATF 136 I 241 consid. 2.1 p. 247; 136 II 304 consid. 2.4 p. 313).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137 II 313 consid. 1.4; 135 III 397 consid. 1.4 p. 400).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 ATF 141 III 86 consid. 2; 140 III 115 consid. 2; 137 III 580 consid. 1.3). Par exception à la règle selon laquelle il applique le droit d'office, il n'examine la violation d'un droit constitutionnel que si le grief a été invoqué et motivé de façon détaillée (principe d'allégation, art. 106 al. 2 LTF ; ATF 135 III 397 consid. 1.4 in fine).</w:t>
      </w:r>
    </w:p>
    <w:p>
      <w:r>
        <w:rPr>
          <w:b/>
        </w:rPr>
        <w:t>E. 3</w:t>
      </w:r>
    </w:p>
    <w:p>
      <w:r>
        <w:t>Le litige porte en l'espèce sur la question de la rémunération du travail accompli les dimanches ainsi que les jours fériés. Dans ces conditions, il n'y a pas lieu de prendre en considération les développements faits par le recourant au sujet de la rétribution des heures supplémentaires.</w:t>
      </w:r>
    </w:p>
    <w:p>
      <w:r>
        <w:rPr>
          <w:b/>
        </w:rPr>
        <w:t>E. 4</w:t>
      </w:r>
    </w:p>
    <w:p>
      <w:r>
        <w:t>En matière d'interprétation des contrats, le juge doit tout d'abord s'efforcer de rechercher la réelle et commune intention des parties, sans s'arrêter aux expressions ou dénominations inexactes dont elles ont pu se servir, soit par erreur, soit pour déguiser la nature véritable de la convention ( art. 18 al. 1 CO ). Constituent des indices en ce sens non seulement la teneur des déclarations de volonté - écrites ou orales -, mais aussi le contexte général, soit toutes les circonstances permettant de découvrir la volonté des parties, qu'il s'agisse de déclarations antérieures à la conclusion du contrat, des projets de contrat, de la correspondance échangée ou encore de l'attitude des parties après la conclusion du contrat, établissant quelles étaient à l'époque les conceptions des contractants eux-mêmes ( ATF 144 III 93 consid. 5.2.2). La recherche de la volonté réelle des parties est qualifiée d'interprétation subjective ( ATF 131 III 606 consid. 4.1 p. 611; 125 III 305 consid. 2b p. 308). Déterminer ce qu'un cocontractant savait et voulait au moment de conclure relève des constatations de fait qui lient le Tribunal fédéral ( ATF 144 III 93 consid. 5.2.2).</w:t>
      </w:r>
    </w:p>
    <w:p>
      <w:r>
        <w:rPr>
          <w:b/>
        </w:rPr>
        <w:t>E. 5</w:t>
      </w:r>
    </w:p>
    <w:p>
      <w:r>
        <w:t>Dans le jugement attaqué, la cour cantonale relève que le recourant, a indiqué, dans son appel, ne pas contester les heures de travail retenues par l'autorité de première instance sur la base des plannings produits en cours de procédure. L'autorité précédente constate que l'intéressé prétend toutefois que chaque heure de travail accomplie un dimanche ou un jour férié devrait en réalité être compensée par deux heures de congé, ou, en d'autres termes, être comptabilisée à double. Se référant à l'art. 10 du contrat conclu par les parties et tenant compte de différents témoignages, la cour cantonale retient que, selon la volonté réelle et commune des parties, chaque heure de travail effectuée le dimanche ou un jour férié devait être compensée par une heure de repos, ou, autrement dit, qu'une heure de travail accomplie ces jours-là devait être prise en compte de la même manière que celle réalisée un jour ouvrable. Aussi les prétentions élevées par le recourant devaient-elles être rejetées.</w:t>
      </w:r>
    </w:p>
    <w:p>
      <w:r>
        <w:rPr>
          <w:b/>
        </w:rPr>
        <w:t>E. 6.1</w:t>
      </w:r>
    </w:p>
    <w:p>
      <w:r>
        <w:t>Invoquant un établissement des faits manifestement inexact ( art. 97 al. 1 LTF ), le recourant soutient tout d'abord que le calcul des heures de travail opéré par l'autorité de première instance et repris par la cour cantonale serait erroné et insoutenable, dès lors qu'il ne tiendrait pas compte des heures effectivement accomplies. Ce faisant, l'intéressé fait valoir un moyen qu'il n'a pas soulevé devant l'autorité précédente. Sa critique est donc irrecevable faute d'épuisement des griefs (cf. ATF 143 III 290 consid. 1.1 et les références). Au demeurant, le recourant adopte un comportement contradictoire, incompatible avec les règles de la bonne foi ( venire contra factum proprium ), qui ne mérite aucune protection, dans la mesure où il a indiqué, dans son écriture d'appel, ne pas contester le décompte de l'autorité de première instance concernant le nombre d'heures de travail effectuées. Le recourant se plaint ensuite d'une constatation arbitraire quant à la réelle et commune volonté des parties. Selon lui, la cour cantonale aurait retenu, manifestement à tort, que les heures de travail effectuées le dimanche et les jours fériés étaient déjà incluses dans le décompte d'heures établi par l'autorité de première instance et que les ajouter reviendrait, en réalité, à les comptabiliser à double. Quoi qu'en pense le recourant, l'appréciation quant à la volonté réelle et concordante des parties est exempte d'arbitraire. La constatation de la cour cantonale selon laquelle les heures de travail effectuées le dimanche et les jours fériés devaient être comptabilisées de la même façon que celles accomplies un jour ouvrable est en effet loin d'être insoutenable, au regard du texte de l'art. 10 du contrat et des différents témoignages recueillis. En l'occurrence, il est constant que les impératifs liés aux services de secours impliquaient de travailler régulièrement le dimanche, ce que savaient pertinemment les parties. Le recourant a consenti à un tel travail, et les parties ont pris en compte l'inconvénient que représente le fait de travailler le dimanche, l'intimée ayant notamment accordé, à bien plaire, une semaine de vacances supplémentaire. Les critiques émises par le recourant, sur un mode appellatoire, qui se contente d'opposer sa propre appréciation de l'art. 10 du contrat de travail à celle de la cour cantonale, ne permettent nullement de démontrer que le résultat de l'interprétation subjective de la volonté des parties serait arbitraire. Le grief ne peut dès lors qu'être rejeté dans la mesure où il est recevable.</w:t>
      </w:r>
    </w:p>
    <w:p>
      <w:r>
        <w:rPr>
          <w:b/>
        </w:rPr>
        <w:t>E. 6.2</w:t>
      </w:r>
    </w:p>
    <w:p>
      <w:r>
        <w:t>Le recourant dénonce la violation des art. 18 et 322 CO . Il présente toutefois une argumentation appellatoire, au demeurant non suffisamment motivée, en opposant sa propre appréciation juridique des faits à celle de la cour cantonale, et assoit en partie son raisonnement sur des faits non constatés dans l'arrêt attaqué. Sa critique est dès lors irrecevable. Le recourant ne formule aucun autre grief contre le jugement attaqué, de sorte que la Cour de céans n'a pas à examiner d'autres questions. Sur le vu de ce qui précède, le recours doit être rejeté dans la mesure de sa recevabilité.</w:t>
      </w:r>
    </w:p>
    <w:p>
      <w:r>
        <w:rPr>
          <w:b/>
        </w:rPr>
        <w:t>E. 7</w:t>
      </w:r>
    </w:p>
    <w:p>
      <w:r>
        <w:t>Le recourant, qui succombe, prendra à sa charge les frais judiciaires ( art. 66 al. 1 LTF ), qui seront fixés selon le tarif réduit étant donné la valeur litigieuse en cause (cf. art. 65 al. 4 let . c LTF). Le dépôt d'une réponse n'ayant pas été requis,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