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4A_484/2024 vom 12. März 2026</w:t>
      </w:r>
    </w:p>
    <w:p>
      <w:r>
        <w:t>Bundesgericht, 2026-03-12, FR</w:t>
      </w:r>
    </w:p>
    <w:p>
      <w:r>
        <w:rPr>
          <w:b/>
        </w:rPr>
        <w:t xml:space="preserve">Quelle: </w:t>
      </w:r>
      <w:r>
        <w:t>https://mcp.opencaselaw.ch/entscheid/bger_4A_484_2024</w:t>
      </w:r>
    </w:p>
    <w:p>
      <w:r>
        <w:t>FR: TF 4A_484/2024 du 12 mars 2026</w:t>
      </w:r>
    </w:p>
    <w:p>
      <w:r>
        <w:t>IT: TF 4A_484/2024 del 12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21 mars 2024, le Président du Tribunal civil de la Gruyère a prononcé la mainlevée provisoire de l'opposition qu'avait formée A.________ SA (ci-après: la poursuivie, la recourante ou la faillie) au commandement de payer n</w:t>
      </w:r>
    </w:p>
    <w:p>
      <w:r>
        <w:t>o xxx de l'Office des poursuites de la Gruyère que lui avait fait notifier B.________ (ci-après: le poursuivant ou l'intimé).</w:t>
      </w:r>
    </w:p>
    <w:p>
      <w:r>
        <w:t>Par arrêt du 8 août 2024, la II</w:t>
      </w:r>
    </w:p>
    <w:p>
      <w:r>
        <w:t>e Cour d'appel civil du Tribunal cantonal de l'État de Fribourg a rejeté, dans la mesure de sa recevabilité, le recours cantonal déposé par la poursuivie à l'encontre de ladite décision.</w:t>
      </w:r>
    </w:p>
    <w:p>
      <w:r>
        <w:rPr>
          <w:b/>
        </w:rPr>
        <w:t>E. 2</w:t>
      </w:r>
    </w:p>
    <w:p>
      <w:r>
        <w:t>Le 13 septembre 2024, la poursuivie a formé, avec requête d'effet suspensif, un recours auprès du Tribunal fédéral contre ledit arrêt.</w:t>
      </w:r>
    </w:p>
    <w:p>
      <w:r>
        <w:t>Invités à se déterminer, l'intimé a, en substance, conclu à l'admission de la requête d'effet suspensif et au rejet du recours, tandis que la cour cantonale a indiqué qu'elle n'avait pas d'observations à formuler sur ladite requête et ne s'est pas déterminée sur le fond du recours.</w:t>
      </w:r>
    </w:p>
    <w:p>
      <w:r>
        <w:t>Par ordonnance présidentielle du 7 novembre 2024, l'effet suspensif a été octroyé au recours.</w:t>
      </w:r>
    </w:p>
    <w:p>
      <w:r>
        <w:rPr>
          <w:b/>
        </w:rPr>
        <w:t>E. 3</w:t>
      </w:r>
    </w:p>
    <w:p>
      <w:r>
        <w:t>Par courrier du 16 décembre 2024, la recourante a indiqué à la Cour de céans qu'elle avait été déclarée en faillite le 12 décembre 2024.</w:t>
      </w:r>
    </w:p>
    <w:p>
      <w:r>
        <w:t>Par ordonnance du 7 janvier 2025, la Juge instructrice a constaté d'office le prononcé de faillite de la recourante au 12 décembre 2024 et notamment ordonné la suspension de la procédure de recours pendante devant le Tribunal fédéral.</w:t>
      </w:r>
    </w:p>
    <w:p>
      <w:r>
        <w:t>Sur demande de la Juge instructrice, l'office des faillites a, par courrier du 9 février 2026, notamment informé la Cour de céans que la créance de 136'528 fr. 90 produite par le poursuivant avait été admise et colloquée en 3</w:t>
      </w:r>
    </w:p>
    <w:p>
      <w:r>
        <w:t>e classe à l'état de collocation.</w:t>
      </w:r>
    </w:p>
    <w:p>
      <w:r>
        <w:t>Invités à se déterminer sur ledit courrier et sur le fait que le Tribunal fédéral envisage de rayer la cause du rôle, dès lors que le recours semble être sans objet ( art. 206 al. 1 LP ), la recourante et l'intimé s'en sont remis à justice.</w:t>
      </w:r>
    </w:p>
    <w:p>
      <w:r>
        <w:rPr>
          <w:b/>
        </w:rPr>
        <w:t>E. 4</w:t>
      </w:r>
    </w:p>
    <w:p>
      <w:r>
        <w:t>Au vu de la faillite de la recourante poursuivie, le recours est sans objet ( art. 206 al. 1 LP ; ATF 121 III 382 consid. 2; arrêt 4D_71/2023 du 28 février 2024 consid. 2.1) et la cause sera donc rayée du rôle ( art. 32 al. 2 LTF ).</w:t>
      </w:r>
    </w:p>
    <w:p>
      <w:r>
        <w:t>Au regard du sort de la procédure, la recourante faillie doit supporter des frais judiciaires réduits et indemniser l'intimé, dès lors que celui-ci a été invité à se déterminer sur la requête d'effet suspensif et sur le recours et s'est déterminé ( art. 71 LTF et 72 PCF; art. 66 al. 1 et art. 68 al. 1 et 2 LTF ).</w:t>
      </w:r>
    </w:p>
    <w:p>
      <w:r>
        <w:t>par ces motifs, la Juge instructrice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