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484/2023 vom 7. November 2023</w:t>
      </w:r>
    </w:p>
    <w:p>
      <w:r>
        <w:t>Bundesgericht, 2023-11-07, DE</w:t>
      </w:r>
    </w:p>
    <w:p>
      <w:r>
        <w:rPr>
          <w:b/>
        </w:rPr>
        <w:t xml:space="preserve">Quelle: </w:t>
      </w:r>
      <w:r>
        <w:t>https://mcp.opencaselaw.ch/entscheid/bger_4A_484_2023</w:t>
      </w:r>
    </w:p>
    <w:p>
      <w:r>
        <w:t>FR: TF 4A 484/2023 du 7 novembre 2023</w:t>
      </w:r>
    </w:p>
    <w:p>
      <w:r>
        <w:t>IT: TF 4A 484/2023 del 7 novembre 2023</w:t>
      </w:r>
    </w:p>
    <w:p>
      <w:pPr>
        <w:pStyle w:val="Heading2"/>
      </w:pPr>
      <w:r>
        <w:t>Regeste</w:t>
      </w:r>
    </w:p>
    <w:p>
      <w:r>
        <w:t>Organisationsmangel, | Register</w:t>
      </w:r>
    </w:p>
    <w:p>
      <w:pPr>
        <w:pStyle w:val="Heading2"/>
      </w:pPr>
      <w:r>
        <w:t>Erwägungen</w:t>
      </w:r>
    </w:p>
    <w:p>
      <w:r>
        <w:rPr>
          <w:b/>
        </w:rPr>
        <w:t>E. 1</w:t>
      </w:r>
    </w:p>
    <w:p>
      <w:r>
        <w:t>Mit Entscheiden vom 31. Mai und 2. Juni 2023 löste der Einzelrichter am Kantonsgericht Zug die Beschwerdeführerinnen aufgrund von Mängeln in der gesetzlich zwingenden Organisation androhungsgemäss auf und ordnete deren konkursamtliche Liquidation an. Mit Präsidialverfügung vom 28. August 2023 trat das Obergericht des Kantons Zug auf die von den Beschwerdeführerinnen gegen diese Entscheide erhobenen Berufungen nicht ein. Mit Eingabe vom 29. September 2023 erklärten die Beschwerdeführerinnen dem Bundesgericht, die obergerichtliche Präsidialverfügung vom 28. August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Eingabe der Beschwerdeführerinnen vom 29. September 2023 erfüllt die genannten Begründungsanforderungen offensichtlich nicht. Sie setzen sich nicht hinreichend mit den Erwägungen der angefochtenen Präsidialverfügung des Obergerichts des Kantons Zug vom 28. August 2023 auseinander und zeigen nicht auf, inwiefern die Vorinstanz mit ihrem Nichteintretensentscheid Bundesrecht verletzt hätte. Sie begnügen sich vielmehr damit, auf ihre Rechtsmitteleingabe im kantonalen Verfahren zu verweisen, was im bundesgerichtlichen Beschwerdeverfahren nicht zulässig ist. Auf die Beschwerde ist somit mangels hinreichender Begründung nicht einzutreten ( Art. 108 Abs. 1 lit. b BGG ).</w:t>
      </w:r>
    </w:p>
    <w:p>
      <w:r>
        <w:rPr>
          <w:b/>
        </w:rPr>
        <w:t>E. 3</w:t>
      </w:r>
    </w:p>
    <w:p>
      <w:r>
        <w:t>Die Beschwerdeführerinnen werden bei diesem Verfahrensausgang unter solidarischer Haftbarkeit kostenpflichtig ( Art. 66 Abs. 1 und 5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