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484/2021 vom 31. Januar 2022</w:t>
      </w:r>
    </w:p>
    <w:p>
      <w:r>
        <w:t>Bundesgericht, 2022-01-31, FR</w:t>
      </w:r>
    </w:p>
    <w:p>
      <w:r>
        <w:rPr>
          <w:b/>
        </w:rPr>
        <w:t xml:space="preserve">Quelle: </w:t>
      </w:r>
      <w:r>
        <w:t>https://mcp.opencaselaw.ch/entscheid/bger_4A_484_2021</w:t>
      </w:r>
    </w:p>
    <w:p>
      <w:r>
        <w:t>FR: TF 4A 484/2021 du 31 janvier 2022</w:t>
      </w:r>
    </w:p>
    <w:p>
      <w:r>
        <w:t>IT: TF 4A 484/2021 del 31 gennaio 2022</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(le recourant) et l'allemand (l'intimé)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Aucune des parties n'avait son siège ou son domicile en Suisse au moment déterminant. Les dispositions du chapitre 12 de la LDIP sont donc applicables ( art. 176 al. 1 LDIP ). Qu'il s'agisse de l'objet du recours, de la qualité pour recourir, du délai de recours ou encore des conclusions prises par le recourant, aucune de ces conditions de recevabilité ne fait problème en l'espèce. Rien ne s'oppose donc à l'entrée en matière. Demeure réservé l'examen de la recevabilité des différents griefs soulevés par le recourant.</w:t>
      </w:r>
    </w:p>
    <w:p>
      <w:r>
        <w:rPr>
          <w:b/>
        </w:rPr>
        <w:t>E. 3</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w:t>
      </w:r>
    </w:p>
    <w:p>
      <w:r>
        <w:rPr>
          <w:b/>
        </w:rPr>
        <w:t>E. 4</w:t>
      </w:r>
    </w:p>
    <w:p>
      <w:r>
        <w:t>Dans un premier moyen, le recourant, invoquant l' art. 190 al. 2 let . d LDIP, soutient que le TAS n'a pas respecté son droit d'être entendu.</w:t>
      </w:r>
    </w:p>
    <w:p>
      <w:r>
        <w:rPr>
          <w:b/>
        </w:rPr>
        <w:t>E. 4.1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4.2</w:t>
      </w:r>
    </w:p>
    <w:p>
      <w:r>
        <w:t>Le recourant reproche à la Formation de n'avoir pas pris en considération la "mauvaise foi" du joueur et le fait qu'il n'a pas respecté son obligation de minimiser le dommage. A son avis, le joueur n'a pas fait d'efforts raisonnables pour retrouver rapidement un emploi après la résiliation de son contrat. Il a attendu, de mauvaise foi, près de trois mois pour réagir à son licenciement. En outre, ce n'est que neuf mois plus tard qu'il a conclu un nouveau contrat de travail et accepté un salaire beaucoup trop bas. Le TAS n'a pas tenu compte de la disproportion manifeste entre la valeur du joueur et le salaire négligeable qu'il a non seulement tardé à obtenir mais surtout à négocier convenablement, nonobstant le fait que le recourant avait soulevé pareil moyen devant le TAS. Si ce dernier avait réellement pris en compte ces circonstances, il aurait dû réduire considérablement l'indemnité allouée à l'intimé.</w:t>
      </w:r>
    </w:p>
    <w:p>
      <w:r>
        <w:rPr>
          <w:b/>
        </w:rPr>
        <w:t>E. 4.3</w:t>
      </w:r>
    </w:p>
    <w:p>
      <w:r>
        <w:t>Le recourant tente, sous le couvert d'une prétendue violation de son droit d'être entendu, de discuter certains aspects de la question de fond touchant l'obligation de minimiser le dommage qui n'ont pas été traités comme il l'aurait souhaité, sous prétexte que la Formation les aurait ignorés. Il va sans dire que pareille démarche est inadmissible en matière d'arbitrage international. En tout état de cause, le TAS a bel et bien traité la question de savoir si l'indemnité devait être réduite au regard de l'obligation de réduire le dommage (sentence, n. 92-95) et a pris en considération les arguments avancés à cet égard par le recourant (sentence, n. 52). Le fait qu'il n'a pas expressément fait allusion au salaire prétendument négocié en dessous de la valeur du marché de l'intimé ne constitue pas une violation du droit d'être entendu, ce d'autant que le recourant ne démontre pas qu'il aurait suffisamment étayé ce moyen durant la procédure arbitrale. Il en va de même s'agissant de l'allégation selon laquelle le joueur n'aurait signé un nouveau contrat de travail neuf mois après la résiliation de son contrat de travail que par pure mauvaise volonté. Il s'ensuit le rejet, dans la mesure de sa recevabilité, du grief tiré de la violation du droit d'être entendu.</w:t>
      </w:r>
    </w:p>
    <w:p>
      <w:r>
        <w:rPr>
          <w:b/>
        </w:rPr>
        <w:t>E. 5</w:t>
      </w:r>
    </w:p>
    <w:p>
      <w:r>
        <w:t>Dans un second moyen, le recourant, invoquant l' art. 190 al. 2 let . e LDIP, soutient que le TAS a rendu une sentence incompatible avec l'ordre public matériel. Il dénonce une violation du principe pacta sunt servanda.</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144 III 120 consid. 5.1; 132 III 389 consid. 2.2.1). Qu'un motif retenu par un tribunal arbitral heurte l'ordre public n'est pas suffisant; c'est le résultat auquel la sentence aboutit qui doit être incompatible avec l'ordre public ( ATF 144 III 120 consid. 5.1). L'annulation d'une sentence arbitrale internationale pour ce motif de recours est chose rarissime ( ATF 132 III 389 consid. 2.1). Le principe de la fidélité contractuelle, rendu par l'adage 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(arrêts 4A_70/2020 du 18 juin 2020 consid. 7.3.1; 4A_318/2017 du 28 août 2017 consid. 4.2). Il convient d'ajouter que, dans le cadre de l'examen d'une violation de l'ordre public au sens de l' art. 190 al. 2 let . e LDIP, le Tribunal fédéral n'a pas à rechercher si le tribunal arbitral a interprété correctement une clause contractuelle (arrêts 4A_167/2021 du 19 juillet 2021 consid. 5.2.1; 4A_370/2007 du 21 février 2008 consid. 5.5; 4P.206/2006 du 30 mars 2007 consid. 4.1).</w:t>
      </w:r>
    </w:p>
    <w:p>
      <w:r>
        <w:rPr>
          <w:b/>
        </w:rPr>
        <w:t>E. 5.2</w:t>
      </w:r>
    </w:p>
    <w:p>
      <w:r>
        <w:t>Sous le couvert du moyen pris de la violation du principe pacta sunt servanda , le recourant ne fait, en réalité, que substituer sa propre appréciation juridique des faits pertinents à celle qui a été retenue par le TAS et qui échappe, partant, à l'examen du Tribunal fédéral, qu'elle soit soutenable ou non. Quoi qu'il en soit, force est de relever que le TAS n'a pas violé le principe pacta sunt servanda , au sens restrictif que lui donne la jurisprudence relative à l' art. 190 al. 2 let . e LDIP, puisqu'il n'a pas appliqué ou refusé d'appliquer une disposition contractuelle liant les parties en se mettant en contradiction avec le résultat de son interprétation.</w:t>
      </w:r>
    </w:p>
    <w:p>
      <w:r>
        <w:rPr>
          <w:b/>
        </w:rPr>
        <w:t>E. 5.3</w:t>
      </w:r>
    </w:p>
    <w:p>
      <w:r>
        <w:t>Le recourant estime qu'il existe une contradiction intrinsèque dans la sentence entreprise, dans la mesure où le TAS a reconnu, dans un premier temps, que l'article 7 du contrat de travail constituait une clause buy-out valide autorisant les parties à mettre fin au contrat de manière anticipée, mais a ensuite jugé que cette clause n'était pas suffisamment claire pour être valable. La Formation aurait en outre tenu un raisonnement contradictoire, en qualifiant la clause 7 d'invalide, tout en se référant néanmoins à la date d'échéance prévue par ladite clause (1er juillet 2019) au moment d'arrêter le dies a quo du cours des intérêts de l'indemnité allouée à l'intimé. Le recourant ne saurait être suivi. Il fonde son argumentation sur sa propre compréhension de la décision attaquée mais ne démontre aucune violation du principe pacta sunt servanda . Le TAS ne s'est en effet pas contredit en procédant à l'interprétation du contrat liant les parties. Il a d'abord souligné que les parties pouvaient en principe conclure valablement des clauses buy-out aux conditions qu'elles avaient prévues. L'article 7 du contrat de travail pouvait être assimilé à une telle clause buy-out (sentence, n. 68). En analysant de plus près la clause 7 du contrat de travail, le TAS a toutefois jugé que celle-ci manquait de clarté dès lors qu'elle ne prévoyait pas un droit de mettre un terme prématurément au contrat mais permettait uniquement aux parties de demander la résiliation anticipée du contrat (" to request "; sentence, n. 79). Il a en outre estimé que le paiement de la somme de 300'000 euros constituait une condition préalable et non une conséquence de la possibilité de résilier le contrat de manière anticipée (sentence, n. 80). Or, cette condition n'avait pas été remplie en l'espèce. Pour ces motifs, la Formation a reconnu qu'il n'y avait pas eu d'exercice valable de la clause buy-out et que, partant, le recourant ne pouvait pas se fonder sur l'article 7 du contrat de travail pour mettre fin prématurément au contrat de travail (sentence, n. 84). De telles considérations ne laissent apparaître aucune contradiction qui serait incompatible avec le principe pacta sunt servanda . Il en va de même en ce qui concerne le cours des intérêts, dont le TAS a fixé le point de départ à la date de la fin du contrat, soit au 1er juillet 2019 (sentence, n. 96 s.). Le fait que le recourant ne pouvait pas se fonder sur l'article 7 du contrat de travail pour résilier de manière anticipée le contrat ne change rien à la date effective de la fin de celui-ci. Ledit contrat a en effet pris fin le 30 juin 2019 nonobstant le caractère injustifié de la résiliation anticipée, mais avec des conséquences (financières) différentes. Le grief examiné n'apparaît ainsi pas fondé, si tant est qu'il soit recevable.</w:t>
      </w:r>
    </w:p>
    <w:p>
      <w:r>
        <w:rPr>
          <w:b/>
        </w:rPr>
        <w:t>E. 6</w:t>
      </w:r>
    </w:p>
    <w:p>
      <w:r>
        <w:t>Au vu de ce qui précède, le recours doit être rejeté dans la mesure de sa recevabilité. Le recourant, qui succombe, supportera les frais de la procédure fédérale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