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4A_484/2017 vom 17. Juli 2018</w:t>
      </w:r>
    </w:p>
    <w:p>
      <w:r>
        <w:t>Bundesgericht, 2018-07-17, FR</w:t>
      </w:r>
    </w:p>
    <w:p>
      <w:r>
        <w:rPr>
          <w:b/>
        </w:rPr>
        <w:t xml:space="preserve">Quelle: </w:t>
      </w:r>
      <w:r>
        <w:t>https://mcp.opencaselaw.ch/entscheid/bger_4A_484_2017</w:t>
      </w:r>
    </w:p>
    <w:p>
      <w:r>
        <w:t>FR: TF 4A_484/2017 du 17 juillet 2018</w:t>
      </w:r>
    </w:p>
    <w:p>
      <w:r>
        <w:t>IT: TF 4A_484/2017 del 17 luglio 2018</w:t>
      </w:r>
    </w:p>
    <w:p>
      <w:pPr>
        <w:pStyle w:val="Heading2"/>
      </w:pPr>
      <w:r>
        <w:t>Erwägungen</w:t>
      </w:r>
    </w:p>
    <w:p>
      <w:r>
        <w:rPr>
          <w:b/>
        </w:rPr>
        <w:t>E. 1</w:t>
      </w:r>
    </w:p>
    <w:p>
      <w:r>
        <w:t>Le recours a été interjeté en temps utile ( art. 46 al. 1 let. b et art. 100 al. 1 LTF ) contre un arrêt final ( art. 90 LTF ) rendu en matière civile ( art. 72 al. 1 LTF ) par le tribunal supérieur du canton statuant sur recours ( art. 75 LTF ) dans une cause dont la valeur litigieuse atteint le seuil de 15'000 fr. prévu en matière de droit du travail ( art. 74 al. 1 let. a LTF ). Il y a lieu d'entrer en matière sur le recours en matière civile.</w:t>
      </w:r>
    </w:p>
    <w:p>
      <w:r>
        <w:rPr>
          <w:b/>
        </w:rPr>
        <w:t>E. 2</w:t>
      </w:r>
    </w:p>
    <w:p>
      <w:r>
        <w:t>A ce stade, le litige porte uniquement sur les heures supplémentaires dont l'employé réclame le paiement, qui correspondent à présent à 30 heures par mois durant cinq ans.</w:t>
      </w:r>
    </w:p>
    <w:p>
      <w:r>
        <w:rPr>
          <w:b/>
        </w:rPr>
        <w:t>E. 2.1</w:t>
      </w:r>
    </w:p>
    <w:p>
      <w:r>
        <w:t>Les premiers juges ont retenu que le recourant avait effectué des heures supplémentaires comme chauffeur de la fille des intimés en soirée ainsi qu'en contrôlant les écrans de surveillance en dehors de ses heures usuelles de travail. Ils les avaient évaluées en équité à 30 heures par mois, soit 1,38 heures supplémentaires par jour.</w:t>
      </w:r>
    </w:p>
    <w:p>
      <w:r>
        <w:t>La Chambre des prud'hommes n'a pas confirmé cette estimation. Sur la base des témoignages, il ne pouvait être tenu pour acquis que le recourant se tenait à la disposition de la fille des intimés et la véhiculait à la fréquence admise par les premiers juges; quant à la vérification des écrans de surveillance en dehors de l'horaire usuel, il s'agissait d'une activité non quantifiable pour laquelle aucun témoin n'avait fourni d'éléments utiles. La cour cantonale s'est placée ensuite dans l'hypothèse où l'employé avait bien effectué des heures supplémentaires et a constaté alors que les intimés - absents durant la journée et très fréquemment les soirs de semaine et certains week-ends - n'en avaient jamais eu connaissance puisqu'il était établi que le recourant ne leur en avait pas parlé; au demeurant, même s'il fallait admettre qu'ils pouvaient subodorer l'existence d'heures supplémentaires, les employeurs pouvaient considérer de bonne foi que l'intimé, qui ne s'était jamais plaint et jouissait d'une certaine flexibilité dans l'organisation de son travail, compensait d'éventuelles heures supplémentaires par du temps libre.</w:t>
      </w:r>
    </w:p>
    <w:p>
      <w:r>
        <w:rPr>
          <w:b/>
        </w:rPr>
        <w:t>E. 2.2</w:t>
      </w:r>
    </w:p>
    <w:p>
      <w:r>
        <w:t>Invoquant une appréciation arbitraire des preuves, le recourant fait grief à la cour cantonale d'avoir écarté le témoignage d'un voisin - qui avait constaté que le recourant travaillait le soir et le samedi matin comme chauffeur - au profit de celui d'une employée des intimés, de très longue date à leur service; au demeurant, les déclarations de cette dernière n'invalideraient pas la quotité de 30 heures supplémentaires par mois arrêtée en équité par les premiers juges.</w:t>
      </w:r>
    </w:p>
    <w:p>
      <w:r>
        <w:t>Le recourant fait valoir ensuite que la motivation supplémentaire de la cour cantonale viole le droit fédéral. Il explique tout d'abord n'avoir pas réclamé le paiement des heures supplémentaires pendant les rapports de travail, de peur de perdre son emploi et le logement familial. Et, à son sens, les intimés ne pouvaient de toute manière pas ignorer les déplacements nocturnes et du samedi matin de leur fille dans leur propre véhicule. Or, dans ce cas-là, le raisonnement subsidiaire de la cour cantonale, fondé sur la croyance sincère des employeurs en une compensation spontanée des heures supplémentaires par le travailleur, serait contraire à la fois à l' art. 321c al. 2 CO et à l' art. 341 al. 1 CO .</w:t>
      </w:r>
    </w:p>
    <w:p>
      <w:r>
        <w:rPr>
          <w:b/>
        </w:rPr>
        <w:t>E. 2.3</w:t>
      </w:r>
    </w:p>
    <w:p>
      <w:r>
        <w:t>Les heures supplémentaires, dont il est question à l' art. 321c CO , correspondent aux heures de travail accomplies au-delà de l'horaire contractuel, soit au-delà du temps de travail prévu par le contrat, l'usage, un contrat-type ou une convention collective ( ATF 126 III 337 consid. 6a p. 342; 116 II 69 consid. 4a p. 70).</w:t>
      </w:r>
    </w:p>
    <w:p>
      <w:r>
        <w:t>Les heures supplémentaires sont compensées en nature ou payées en espèces. Avec l'accord du travailleur, elles peuvent être compensées par un congé d'une durée au moins égale, qui doit être accordé au cours d'une période appropriée ( art. 321c al. 2 CO ; ATF 123 III 84 consid. 5a p. 84); la convention peut être tacite (arrêt 4A_611/2012 du 19 février 2013 consid. 3.2). L'employeur est tenu de rétribuer les heures de travail supplémentaires qui ne sont pas compensées par un congé ( art. 321c al. 3 CO</w:t>
      </w:r>
    </w:p>
    <w:p>
      <w:r>
        <w:t>in principio ).</w:t>
      </w:r>
    </w:p>
    <w:p>
      <w:r>
        <w:t>Conformément à l' art. 8 CC , il appartient au travailleur de prouver qu'il a accompli des heures supplémentaires et, en plus, que celles-ci ont été ordonnées par l'employeur ou étaient nécessaires à la sauvegarde des intérêts légitimes de ce dernier (cf. art. 321c al. 1 CO ; ATF 129 III 171 consid. 2.4 p. 176; arrêt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 ATF 129 III 171 consid. 2.2 et 2.3 p. 174 s.).</w:t>
      </w:r>
    </w:p>
    <w:p>
      <w:r>
        <w:t>Le travailleur doit non seulement démontrer qu'il a effectué des heures supplémentaires au sens de l' art. 321c CO , mais également prouver la quotité des heures dont il réclame la rétribution. Lorsqu'il n'est pas possible d'en établir le nombre exact, le juge peut, par application analogique de l' art. 42 al. 2 CO ,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précité du 19 février 2013 consid. 2.2 et les arrêts cités).</w:t>
      </w:r>
    </w:p>
    <w:p>
      <w:r>
        <w:rPr>
          <w:b/>
        </w:rPr>
        <w:t>E. 2.4</w:t>
      </w:r>
    </w:p>
    <w:p>
      <w:r>
        <w:t>Le recourant devait prouver, d'une part, qu'il avait accompli des heures au-delà de la limite contractuelle et, d'autre part, que celles-ci avaient été ordonnées par les employeurs ou approuvées par ceux-ci, fût-ce implicitement s'ils en avaient connaissance ou devaient en avoir connaissance.</w:t>
      </w:r>
    </w:p>
    <w:p>
      <w:r>
        <w:t>En ce qui concerne la seconde condition posée à la rétribution d'heures supplémentaires, il n'est pas contesté en l'espèce que les employeurs n'ont pas requis expressément l'exécution d'heures supplémentaires. Par ailleurs, il ressort des constatations de l'arrêt attaqué que le recourant n'a pas informé les intimés de l'accomplissement d'heures supplémentaires et il n'est pas établi que les employeurs devaient en avoir connaissance par un autre biais. Sur ce dernier point, le recourant se borne à invoquer le caractère prétendument invraisemblable de l'ignorance des parents à propos des déplacements de leur fille, ce qui n'est pas suffisant à motiver un grief fondé sur un établissement manifestement inexact des faits.</w:t>
      </w:r>
    </w:p>
    <w:p>
      <w:r>
        <w:t>Il s'ensuit que les heures supplémentaires invoquées par l'employé, qui n'ont pas été ordonnées par les employeurs, n'ont pas non plus été approuvées par eux. Toute prétention en rétribution d'heures supplémentaires s'en trouve par là-même privée de fondement.</w:t>
      </w:r>
    </w:p>
    <w:p>
      <w:r>
        <w:t>Dès lors qu'il a trait à la première condition posée à la rémunération d'heures supplémentaires, le grief tiré d'une appréciation arbitraire des témoignages dans ce contexte tombe à faux. En effet, même fondé, il ne saurait modifier l'issue du litige au fond.</w:t>
      </w:r>
    </w:p>
    <w:p>
      <w:r>
        <w:t>Il n'y a pas lieu non plus d'examiner le moyen pris d'une violation des art. 321c et 341 CO , puisqu'il se base sur l'hypothèse, non établie, que les intimés devaient être au courant d'heures supplémentaires effectuées par le recourant.</w:t>
      </w:r>
    </w:p>
    <w:p>
      <w:r>
        <w:rPr>
          <w:b/>
        </w:rPr>
        <w:t>E. 3</w:t>
      </w:r>
    </w:p>
    <w:p>
      <w:r>
        <w:t>Sur le vu de ce qui précède, le recours doit être rejeté.</w:t>
      </w:r>
    </w:p>
    <w:p>
      <w:r>
        <w:t>En conséquence, le recourant prendra à sa charge les frais judiciaires ( art. 66 al. 1 LTF ), mais n'aura pas à verser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