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4A_483/2025 vom 9. April 2026</w:t>
      </w:r>
    </w:p>
    <w:p>
      <w:r>
        <w:t>Bundesgericht, 2026-04-09, FR</w:t>
      </w:r>
    </w:p>
    <w:p>
      <w:r>
        <w:rPr>
          <w:b/>
        </w:rPr>
        <w:t xml:space="preserve">Quelle: </w:t>
      </w:r>
      <w:r>
        <w:t>https://mcp.opencaselaw.ch/entscheid/bger_4A_483_2025</w:t>
      </w:r>
    </w:p>
    <w:p>
      <w:r>
        <w:t>FR: TF 4A_483/2025 du 9 avril 2026</w:t>
      </w:r>
    </w:p>
    <w:p>
      <w:r>
        <w:t>IT: TF 4A_483/2025 del 9 aprile 2026</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conformément à l' art. 77 al. 1 let. a LTF .</w:t>
      </w:r>
    </w:p>
    <w:p>
      <w:r>
        <w:t>Le siège du TAS se trouve à Lausanne. Aucune des parties n'avait son siège respectivement son domicile en Suisse au moment déterminant. Les dispositions du chapitre 12 de la LDIP sont donc applicables ( art. 176 al. 1 LDIP ).</w:t>
      </w:r>
    </w:p>
    <w:p>
      <w:r>
        <w:rPr>
          <w:b/>
        </w:rPr>
        <w:t>E. 3</w:t>
      </w:r>
    </w:p>
    <w:p>
      <w:r>
        <w:t>Le Tribunal fédéral examine d'office et librement la recevabilité des actes qui lui sont soumis ( ATF 138 III 46 consid. 1).</w:t>
      </w:r>
    </w:p>
    <w:p>
      <w:r>
        <w:rPr>
          <w:b/>
        </w:rPr>
        <w:t>E. 3.1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 2.2 et les références citées).</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4.2; 140 III 16 consid. 1.3.1 et les références citées; arrêts 4A_164/2025 du 15 août 2025 consid. 2.3; 4A_95/2025 du 24 juin 2025 consid. 4.2).</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w:t>
      </w:r>
    </w:p>
    <w:p>
      <w:r>
        <w:t>Dans un unique moyen divisé en sept branches, le recourant soutient que la sentence attaquée est contraire à l'ordre public matériel ( art. 190 al. 2 let . e LDIP).</w:t>
      </w:r>
    </w:p>
    <w:p>
      <w:r>
        <w:rPr>
          <w:b/>
        </w:rPr>
        <w:t>E. 4.1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4A_546/2024 du 20 mai 2025 consid. 6.1; 4A_116/2016 du 13 décembre 2016 consid. 4.1; 4A_304/2013 du 3 mars 2014 consid. 5.1.1).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t>Lorsque le Tribunal fédéral est appelé à statuer sur un recours dirigé contre une sentence rendue par un tribunal arbitral ayant son siège en Suisse et appliquant les règles du droit suisse, il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comme il le ferait s'il était saisi d'un recours en matière civile dirigé contre un arrêt étatique (arrêts 4A_318/2018, précité, consid. 4.5.1; 4A_312/2017 du 27 novembre 2017 consid. 3.3.4.2; 4A_32/2016 du 20 décembre 2016 consid. 4.3).</w:t>
      </w:r>
    </w:p>
    <w:p>
      <w:r>
        <w:t>La circonstance selon laquelle une disposition impérative de droit suisse relève par hypothèse de l'ordre public helvétique n'implique pas forcément que la violation d'une telle règle contreviendrait à l'ordre public matériel visé par l' art. 190 al. 2 let . e LDIP (arrêts 4A_95/2025, précité, consid. 5.4.2; 4A_456/2022 du 23 février 2023 consid. 5.2 et la référence citée). D'une manière générale, il sied en outre de rappeler que le motif de recours prévu par cette disposition ne tend pas à protéger l'ordre juridique suisse, pas plus qu'il ne vise à sanctionner le défaut d'application ou la mauvaise application du droit étranger applicable au fond du litige, fût-il impératif, ni l'absence de prise en considération d'une loi de police ou d'application immédiate d'un État tiers ( ATF 132 III 389 consid. 2.2.2; arrêt 4A_95/2025, précité, consid. 5.4.2).</w:t>
      </w:r>
    </w:p>
    <w:p>
      <w:r>
        <w:rPr>
          <w:b/>
        </w:rPr>
        <w:t>E. 4.2</w:t>
      </w:r>
    </w:p>
    <w:p>
      <w:r>
        <w:t>Pour étayer son grief tiré de la contrariété à l'ordre public matériel visé par l' art. 190 al. 2 let . e LDIP, le recourant soutient, en premier lieu, que la sentence attaquée consacre une violation des dispositions édictées par la FIFA prohibant la pratique de tierce propriété des droits économiques sur les joueurs de football, plus connue sous sa dénomination anglaise</w:t>
      </w:r>
    </w:p>
    <w:p>
      <w:r>
        <w:t>Third Party Ownership (TPO). En deuxième lieu, il fait grief à l'arbitre d'avoir enfreint certaines règles impératives du droit belge relatives à l'activité d'agent sportif et au placement de travailleurs. En troisième lieu, le recourant prétend, en substance, que les dispositions contractuelles qui liaient les parties portaient atteinte à sa situation économique puisqu'elles prévoyaient des rémunérations excessives en faveur de l'agent, lequel se trouvait de surcroît dans une situation de conflit d'intérêts. En quatrième lieu, il reproche à l'arbitre d'avoir méconnu l' art. 404 CO et d'avoir "gravement porté atteinte à l'application du droit impératif et à l'ordre juridique suisse en admettant d'accorder aux intimés le versement d'indemnités correspondant à l'intérêt positif de ces derniers à la continuation du mandat". En cinquième lieu, le recourant se plaint de ce que l'arbitre aurait bafoué les principes essentiels et impératifs applicables au contrat de courtage. En sixième lieu, il soutient que l'arbitre aurait enfreint l' art. 9 Cst. en appréciant arbitrairement les preuves et en constatant les faits de manière inexacte en lien avec le transfert du joueur au Club H.________. En septième et dernier lieu, il prétend que l'arbitre aurait versé dans l'arbitraire en niant toute pertinence aux règles de droit belge auxquelles renvoyait le premier contrat de travail signé par le footballeur avec le club belge.</w:t>
      </w:r>
    </w:p>
    <w:p>
      <w:r>
        <w:rPr>
          <w:b/>
        </w:rPr>
        <w:t>E. 4.3</w:t>
      </w:r>
    </w:p>
    <w:p>
      <w:r>
        <w:t>En l'espèce, la lecture des écritures déposées par le recourant démontre que celui-ci confond à l'évidence le Tribunal fédéral avec une juridiction qui pourrait revoir librement les tenants et aboutissants de l'affaire et qu'il ne cherche, en pure perte, qu'à refaire le procès devant la Cour de céans. Force est, en effet, de rappeler ici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ou de droit étranger, fussent-elles impératives. La seule question à résoudre consiste en réalité à savoir si le résultat auquel a abouti l'arbitre rend ou non la sentence déférée incompatible avec l'ordre public matériel. Or, en l'espèce, l'intéressé, dans son mémoire de recours, se borne, sur plus d'une dizaine de pages, à relater les faits qui lui semblent pertinents en se référant, à plusieurs reprises, à des pièces figurant dans le dossier de l'arbitrage, puis à exposer, sur plusieurs dizaines de pages, sa propre appréciation juridique des circonstances de la cause en litige sur un mode purement appellatoire, à grand renfort d'affirmations péremptoires. Pareille manière d'argumenter ne satisfait pas aux exigences strictes en matière de motivation d'un recours en matière civile fondé sur la violation de l'ordre public au sens de l' art. 190 al. 2 let . e LDIP.</w:t>
      </w:r>
    </w:p>
    <w:p>
      <w:r>
        <w:t>Au demeurant, le simple énoncé des diverses branches du moyen considéré et les explications fournies par le recourant démontrent que celui-ci perd de vue que le Tribunal fédéral n'est pas une cour d'appel qui chapeauterait le TAS et vérifierait librement le bien-fondé des sentences en matière d'arbitrage international rendues par cet organe juridictionnel privé. Le recourant cherche en effet, par le biais de l' art. 190 al. 2 let . e LDIP, à obtenir que la Cour de céans examine avec une pleine cognition les questions de droit matériel traitées dans la sentence entreprise. Or, tel n'est pas le rôle de l'autorité judiciaire suprême du pays lorsqu'elle est saisie d'un recours au sens de l' art. 77 al. 1 LTF dans lequel est invoquée l'incompatibilité de la sentence attaquée avec l'ordre public, comme cela ressort de la définition de cette notion. Contrairement à ce que semble sous-entendre le recourant, le Tribunal fédéral n'est pas davantage une juridiction chargée de sanctionner l'arbitraire dans les constatations de fait et l'application du droit en matière d'arbitrage international. Si le recourant critique certes diverses considérations émises par l'arbitre, il n'établit pas, en argumentant comme il le fait, que le résultat auquel a abouti l'arbitre dans la sentence attaquée serait incompatible avec la notion d'ordre public matériel au sens de l' art. 190 al. 2 let . e LDIP, étant rappelé ici que les parties ont autorisé l'arbitre à fixer le montant de l'indemnisation allouée aux demandeurs selon les règles de l'équité. Il en résulte l'irrecevabilité totale du grief tiré de la contrariété à l'ordre public matériel visé par l' art. 190 al. 2 let . e LDIP.</w:t>
      </w:r>
    </w:p>
    <w:p>
      <w:r>
        <w:rPr>
          <w:b/>
        </w:rPr>
        <w:t>E. 5</w:t>
      </w:r>
    </w:p>
    <w:p>
      <w:r>
        <w:t>Au vu de ce qui précède, le recours se révèle irrecevable. Le recourant, qui succombe, supportera les frais de la présente procédure ( art. 66 al. 1 LTF ). Il versera une indemnité de dépens aux intimés B. et C.________, créanciers solidaires, qui ont agi de concert dans le cadre de la procédure fédérale ( art. 68 al. 1 et 2 LTF ). Les intimées D. et E.________ n'ont en revanche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