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482/2020 vom 22. Februar 2021</w:t>
      </w:r>
    </w:p>
    <w:p>
      <w:r>
        <w:t>Bundesgericht, 2021-02-22, FR</w:t>
      </w:r>
    </w:p>
    <w:p>
      <w:r>
        <w:rPr>
          <w:b/>
        </w:rPr>
        <w:t xml:space="preserve">Quelle: </w:t>
      </w:r>
      <w:r>
        <w:t>https://mcp.opencaselaw.ch/entscheid/bger_4A_482_2020</w:t>
      </w:r>
    </w:p>
    <w:p>
      <w:r>
        <w:t>FR: TF 4A 482/2020 du 22 février 2021</w:t>
      </w:r>
    </w:p>
    <w:p>
      <w:r>
        <w:t>IT: TF 4A 482/2020 del 22 febbraio 2021</w:t>
      </w:r>
    </w:p>
    <w:p>
      <w:pPr>
        <w:pStyle w:val="Heading2"/>
      </w:pPr>
      <w:r>
        <w:t>Regeste</w:t>
      </w:r>
    </w:p>
    <w:p>
      <w:r>
        <w:t>action en reddition de compte, droit d'être entendu | Droit des contrats</w:t>
      </w:r>
    </w:p>
    <w:p>
      <w:pPr>
        <w:pStyle w:val="Heading2"/>
      </w:pPr>
      <w:r>
        <w:t>Erwägungen</w:t>
      </w:r>
    </w:p>
    <w:p>
      <w:r>
        <w:rPr>
          <w:b/>
        </w:rPr>
        <w:t>E. 1</w:t>
      </w:r>
    </w:p>
    <w:p>
      <w:r>
        <w:t>Interjeté en temps utile ( art. 46 al. 1 let. b et art. 100 al. 1 LTF ) par la partie qui a succombé dans ses conclusions ( art. 76 al. 1 LTF ), dirigé contre un arrêt final ( art. 90 LTF ) rendu sur appel par un tribunal cantonal supérieur ( art. 75 LTF ) dans une affaire civile de droit des contrats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Selon son arrêt, la cour cantonale a refusé la production des documents relatifs aux rétrocessions et commissions pour toute la période de dix ans pour laquelle la demanderesse l'avait requise et, alors que le tribunal avait admis une restitution de 20'678 fr. pour la période de 2013 à 2015, la cour cantonale a refusé toute restitution.</w:t>
      </w:r>
    </w:p>
    <w:p>
      <w:r>
        <w:rPr>
          <w:b/>
        </w:rPr>
        <w:t>E. 3.1</w:t>
      </w:r>
    </w:p>
    <w:p>
      <w:r>
        <w:t>Pour la période de 2005 à 2012, la cour cantonale a retenu deux motifs: Premièrement, examinant le grief de la violation du droit à la preuve de la demanderesse, elle a considéré que celle-ci ne s'était pas opposée à la clôture de la procédure probatoire et avait attendu l'audience de plaidoiries pour indiquer au tribunal qu'elle maintenait sa réquisition de preuve. L'ayant fait tardivement, elle ne saurait se plaindre de violation de son droit à la preuve. Deuxièmement, examinant le droit à la reddition de compte, en admettant que la banque a allégué que les produits financiers et les fonds de placement dans lesquels la cliente avait investi n'avaient généré aucune rétrocession depuis le début des relations contractuelles, elle a constaté que la procédure n'avait abordé ni la question de l'existence même des rétrocessions ni celle de la renonciation à la restitution. Faute de contestation de l'allégation découlant du courrier de la défenderesse du 29 septembre 2017, elle a débouté la demanderesse de sa demande en restitution de comptes et en paiement.</w:t>
      </w:r>
    </w:p>
    <w:p>
      <w:r>
        <w:rPr>
          <w:b/>
        </w:rPr>
        <w:t>E. 3.2</w:t>
      </w:r>
    </w:p>
    <w:p>
      <w:r>
        <w:t>Pour la période de 2013 à 2015, alors que le tribunal avait alloué 20'678 fr. à la demanderesse, la cour cantonale a annulé et rejeté toute prétention, faute de conclusion en restitution de rétrocessions pour ces années.</w:t>
      </w:r>
    </w:p>
    <w:p>
      <w:r>
        <w:rPr>
          <w:b/>
        </w:rPr>
        <w:t>E. 4</w:t>
      </w:r>
    </w:p>
    <w:p>
      <w:r>
        <w:t>Dans son dernier grief, qu'il s'impose de traiter en premier, la recourante soutient que la cour cantonale aurait transformé une prétention matérielle en reddition de compte en une simple question de droit de procédure et de droit à la preuve, ce qui constituerait une violation de l' art. 400 CO .</w:t>
      </w:r>
    </w:p>
    <w:p>
      <w:r>
        <w:rPr>
          <w:b/>
        </w:rPr>
        <w:t>E. 4.1</w:t>
      </w:r>
    </w:p>
    <w:p>
      <w:r>
        <w:t>Le droit à la reddition de compte fondé sur l' art. 400 al. 1 CO est une prétention de droit matériel, et non un droit de nature procédurale ( ATF 141 III 564 , consid. 4.2.2, p. 568, arrêt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 ATF 141 III 564 , consid. 4.2.2, p. 568, ATF 138 III 728 consid. 2.7 p. 732 s.). Le jugement, revêtu de l'autorité de la chose jugée, doit être rendu après un examen complet en fait et en droit ( ATF 141 III 564 , consid. 4.2.2, p. 568). En outre, le mandant est autorisé à exercer cette action sans avoir à justifier d'un intérêt légitime ( ATF 139 III 49 consid. 4.5.2 p. 59, arrêt 4A_353/2019, du 25 mars 2020, consid. 4). Le droit à la reddition de compte peut être invoqué à titre principal ou dans le cadre d'une action échelonnée. L'action échelonnée est constituée d'une première prétention en reddition de comptes. Cette prétention est en elle-même un objet du litige qui pourrait faire l'objet d'un procès séparé ( ATF 140 III 409 , consid. 3.2, p. 412). La prétention condamnatoire non chiffrée constitue un second objet du litige. L'action échelonnée se distingue ainsi de l'action en paiement non chiffrée au sens strict en ceci qu'une prétention complémentaire indépendante en délivrance d'informations ou en reddition de comptes doit exister. Elle est une forme de cumul objectif d'actions ( art. 90 CPC ) (GROBÉTY/HEINZMANN, Petit commentaire du CPC, 2020, n° 14 ad art. 85 CPC ).</w:t>
      </w:r>
    </w:p>
    <w:p>
      <w:r>
        <w:rPr>
          <w:b/>
        </w:rPr>
        <w:t>E. 4.2</w:t>
      </w:r>
    </w:p>
    <w:p>
      <w:r>
        <w:t>La requête de production de documents est une offre d'administration de preuves lorsqu'elle est formulée à l'appui d'un allégué de la demande. Elle est alors fondée sur le droit de procédure, soit l'obligation de produire les titres de l' art. 160 al. 1 let. b CPC (HOHL, Procédure civile, Tome 1, 2ème éd. 2016, n° 1758).</w:t>
      </w:r>
    </w:p>
    <w:p>
      <w:r>
        <w:rPr>
          <w:b/>
        </w:rPr>
        <w:t>E. 4.3</w:t>
      </w:r>
    </w:p>
    <w:p>
      <w:r>
        <w:t>Pour déterminer si le demandeur a intenté une action de droit matériel en reddition de compte ou s'il a seulement formulé une offre de preuve à l'appui d'un allégué, il faut examiner les conclusions de la demande, qui, avec les faits allégués, déterminent l'objet du litige ( ATF 142 III 210 consid. 2.1 p. 213; 139 III 126 , consid. 3.2.3 p. 131; HOHL, Procédure civile, Tome 1, 2ème éd. 2016, n° 459 ss).</w:t>
      </w:r>
    </w:p>
    <w:p>
      <w:r>
        <w:rPr>
          <w:b/>
        </w:rPr>
        <w:t>E. 4.4</w:t>
      </w:r>
    </w:p>
    <w:p>
      <w:r>
        <w:t>En l'espèce, examinant les seuls griefs de la recourante, la cour cantonale a examiné tout d'abord la réquisition de production des décomptes relatifs aux rétrocessions sous l'angle du grief formulé par la recourante de violation du droit à la preuve et ensuite cette même réquisition de production, implicitement sous l'angle du droit matériel à la reddition de compte de l' art. 400 CO , deux questions dont elle avait exposé les règles légales et jurisprudentielles avant de procéder à la subsomption. Il s'ensuit qu'en tant qu'il reproche à la cour cantonale d'avoir " transformé une prétention matérielle en reddition de compte en une simple question de procédure et de droit à la preuve ", le grief de la recourante est infondé. Dès lors que, dans les conclusions de sa demande, la cliente a conclu à ce qu'il lui soit remis les décomptes détaillés de toutes les commissions et rétrocessions perçues dans le cadre de son mandat par la banque, il y a lieu d'admettre qu'elle a fait valoir son droit matériel à la communication de renseignements et de pièces de l' art. 400 al. 1 CO . Autre est la question de savoir si la cour cantonale a valablement rejeté le droit de la demanderesse à la reddition de compte (cf. consid. 6 ci-dessous).</w:t>
      </w:r>
    </w:p>
    <w:p>
      <w:r>
        <w:rPr>
          <w:b/>
        </w:rPr>
        <w:t>E. 5</w:t>
      </w:r>
    </w:p>
    <w:p>
      <w:r>
        <w:t>La recourante se plaint ensuite de déni de justice formel et de violation du droit d'être entendu.</w:t>
      </w:r>
    </w:p>
    <w:p>
      <w:r>
        <w:rPr>
          <w:b/>
        </w:rPr>
        <w:t>E. 5.1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146 III 265 , consid. 5.7.3 non publié dans l'arrêt 4A_400/2019, du 17 mars 2020;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146 III 265 , consid. 5.7.3 non publié dans l'arrêt 4A_400/2019 précité; 141 V 557 consid. 3.2.1 p. 565; 137 II 266 consid. 3.2 p. 270; 136 I 229 consid. 5.2 p. 236; 134 I 83 consid. 4.1 p. 88).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134 I 83 , consid. 4.1 p. 88; arrêt 4A_266/2020, du 23 septembre 2020, consid. 4.1).</w:t>
      </w:r>
    </w:p>
    <w:p>
      <w:r>
        <w:rPr>
          <w:b/>
        </w:rPr>
        <w:t>E. 5.2</w:t>
      </w:r>
    </w:p>
    <w:p>
      <w:r>
        <w:t>En tant que la recourante reproche à la Cour de justice de ne pas s'être prononcée sur la renonciation aux rétrocessions admise par le tribunal par appréciation des preuves, en particulier à la suite de la lettre d'information du 6 décembre 2011 et, partant d'avoir commis un déni de justice formel et une violation du droit d'être entendu (à supposer qu'elle se soit ralliée à la position du tribunal), elle méconnaît que, dans son deuxième motif exposé ci-dessus (consid. 3.1), la cour cantonale a pu laisser ouverte cette question, dès lors qu'elle n'avait pas contesté l'allégué de la banque selon lequel les produits financiers et les fonds de placement dans lesquels l'appelante avait investi n'avaient généré aucune rétrocession depuis le début des relations contractuelles entre les parties, de sorte que l'administration des preuves n'avait porté ni sur l'existence même de rétrocessions ni non plus sur l'éventuelle clause de renonciation contenue dans les conditions générales. Contrairement à ce que croit la recourante, ce seul motif suffit pour écarter ses prétentions, non pas parce que la cour cantonale aurait admis, pour le même motif que le tribunal, qu'elle a renoncé aux rétrocessions, mais parce que, procéduralement, faute de contestation de sa part de l'écriture de la banque, il n'y avait pas eu de procédure d'administration des preuves ni sur l'existence de rétrocessions, ni sur la clause de renonciation de la demanderesse. Les griefs de déni de justice formel et de violation du droit d'être entendu sont donc infondés.</w:t>
      </w:r>
    </w:p>
    <w:p>
      <w:r>
        <w:rPr>
          <w:b/>
        </w:rPr>
        <w:t>E. 6</w:t>
      </w:r>
    </w:p>
    <w:p>
      <w:r>
        <w:t>La recourante reproche enfin à la cour cantonale de s'être basée sur le courrier de la banque du 29 septembre 2017 pour retenir un allégué au sens de l' art. 229 CPC et lui imputer à elle un défaut de réaction ou de contestation de cet allégué et partant une renonciation à sa demande en reddition de compte, alors qu'elle considère que cet allégué, formulé en dehors de tout échange d'écritures ou instruction particulière, est irrecevable, ce d'autant qu'elle a formulé une demande en reddition de compte et que la banque a reconnu avoir perçu des rétrocessions entre 2009 et 2012. L'intimée fait valoir que l' art. 229 CPC n'était pas applicable car ce courrier faisait suite à un ordre de production donné par le tribunal de première instance, auquel elle n'a fait que déférer.</w:t>
      </w:r>
    </w:p>
    <w:p>
      <w:r>
        <w:rPr>
          <w:b/>
        </w:rPr>
        <w:t>E. 6.1</w:t>
      </w:r>
    </w:p>
    <w:p>
      <w:r>
        <w:t>Au-delà des exigences qui, dans les procès régis par la maxime des débats ( art. 55 al. 1 CPC ), découlent des art. 221 al. 1 let . d et e, 222 al. 2 2e phr., ainsi que des art. 229 al. 1-2 et 317 al. 1 CPC, tous les participants au procès doivent agir de bonne foi et, partant, ne pas commettre d'abus de droit ( art. 52 CPC ; ATF 132 I 249 consid. 5 p. 252; arrêt 4A_590/2016 du 26 janvier 2017 consid. 2.1).</w:t>
      </w:r>
    </w:p>
    <w:p>
      <w:r>
        <w:rPr>
          <w:b/>
        </w:rPr>
        <w:t>E. 6.2</w:t>
      </w:r>
    </w:p>
    <w:p>
      <w:r>
        <w:t>Contrairement à ce que croit la recourante, la cour cantonale n'a pas déduit de son absence de réaction à ce courrier du 21 septembre 2017 qu'elle avait renoncé à sa demande de reddition de compte, mais qu'elle ne pouvait faire valoir aucun droit à la restitution de rétrocessions, de sorte qu'il n'y avait pas lieu d'ordonner la reddition de compte. Or, non seulement la demanderesse n'a pas réagi à ce courrier, mais comme le relève l'intimée, elle n'a pas non plus réagi lors de l'audience qui l'a suivi, ni ne s'est opposée à la clôture de l'administration des preuves. Ce n'est donc pas parce qu'elle a considéré le courrier de la banque et son contenu comme un allégué de la réponse, qui n'aurait pas été contesté et serait donc prouvé en vertu de l' art. 150 al. 1 CPC - en ce sens qu'il serait établi qu'il n'y a jamais eu d'investissements ayant donné lieu à rétrocessions, la banque corrigeant ainsi son courrier erroné du 18 novembre 2014 -, mais parce que le comportement de la demanderesse, qui n'a pas réagi à ce courrier, ni immédiatement ni lors de la prochaine audience, ni ne s'est opposée à la clôture de la procédure probatoire, adopte un comportement contraire à la bonne foi. Elle ne saurait être admise à attendre le résultat du procès pour remettre en cause ce fait en appel et reprocher à la cour cantonale une violation des règles de procédure.</w:t>
      </w:r>
    </w:p>
    <w:p>
      <w:r>
        <w:rPr>
          <w:b/>
        </w:rPr>
        <w:t>E. 7</w:t>
      </w:r>
    </w:p>
    <w:p>
      <w:r>
        <w:t>Faute de droit à la restitution, ni l'existence de rétrocessions, ni la clause de renonciation n'ayant été l'objet de la procédure de première instance, c'est à raison que la cour cantonale a rejeté l'action en reddition de compte. Il s'ensuit que les conclusions subsidiaires en paiement du montant de 27'751 fr., tel qu'invoqué pour la période de 2009 à 2013, de la demanderesse doivent être rejetées. Dès lors que la cour cantonale a annulé le montant de 20'678 fr. alloué à la demanderesse pour la période de 2013 à 2015, faute de conclusions en restitution pour cette période, la recourante n'y a pas non plus droit contrairement à ce qu'elle croit. Son recours ne contient aucune critique de la motivation cantonale sur ce point.</w:t>
      </w:r>
    </w:p>
    <w:p>
      <w:r>
        <w:rPr>
          <w:b/>
        </w:rPr>
        <w:t>E. 8</w:t>
      </w:r>
    </w:p>
    <w:p>
      <w:r>
        <w:t>Au vu de ce qui précède, le recours doit être rejeté. Les frais judiciaires et les dépens sont mis à la charge de la recourante qui succombe ( art. 66 et 68 al. 1 et 2 LTF ). L'indemnité allouée à l'intimée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