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4A_482/2016 vom 6. Oktober 2016</w:t>
      </w:r>
    </w:p>
    <w:p>
      <w:r>
        <w:t>Bundesgericht, 2016-10-06, DE</w:t>
      </w:r>
    </w:p>
    <w:p>
      <w:r>
        <w:rPr>
          <w:b/>
        </w:rPr>
        <w:t xml:space="preserve">Quelle: </w:t>
      </w:r>
      <w:r>
        <w:t>https://mcp.opencaselaw.ch/entscheid/bger_4A_482_2016</w:t>
      </w:r>
    </w:p>
    <w:p>
      <w:r>
        <w:t>FR: TF 4A_482/2016 du 6 octobre 2016</w:t>
      </w:r>
    </w:p>
    <w:p>
      <w:r>
        <w:t>IT: TF 4A_482/2016 del 6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4A_482/2016</w:t>
      </w:r>
    </w:p>
    <w:p>
      <w:r>
        <w:t>Verfügung vom 6. Oktober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vertreten durch Rechtsanwalt Raphaël Camp,</w:t>
      </w:r>
    </w:p>
    <w:p>
      <w:r>
        <w:t>Beschwerdeführer,</w:t>
      </w:r>
    </w:p>
    <w:p>
      <w:r>
        <w:t>gegen</w:t>
      </w:r>
    </w:p>
    <w:p>
      <w:r>
        <w:t>Amt für Handelsregister &amp; Notariate</w:t>
      </w:r>
    </w:p>
    <w:p>
      <w:r>
        <w:t>des Kantons St. Gallen,</w:t>
      </w:r>
    </w:p>
    <w:p>
      <w:r>
        <w:t>Beschwerdegegner.</w:t>
      </w:r>
    </w:p>
    <w:p>
      <w:r>
        <w:t>Gegenstand</w:t>
      </w:r>
    </w:p>
    <w:p>
      <w:r>
        <w:t>Löschung einer Aktiengesellschaft,</w:t>
      </w:r>
    </w:p>
    <w:p>
      <w:r>
        <w:t>Beschwerde gegen den Entscheid des</w:t>
      </w:r>
    </w:p>
    <w:p>
      <w:r>
        <w:t>Handelsgerichtspräsidenten des Kantons St. Gallen</w:t>
      </w:r>
    </w:p>
    <w:p>
      <w:r>
        <w:t>vom 24. Juni 2016.</w:t>
      </w:r>
    </w:p>
    <w:p>
      <w:r>
        <w:t>In Erwägung,</w:t>
      </w:r>
    </w:p>
    <w:p>
      <w:r>
        <w:t>dass der Beschwerdeführer mit Schreiben vom 3. Oktober 2016 seine Beschwerde vom 1. September 2016 gegen den Entscheid des Handelsgerichtspräsidenten des Kantons St. Gallen vom 24. Juni 2016zurückgezogen hat;</w:t>
      </w:r>
    </w:p>
    <w:p>
      <w:r>
        <w:t>dass das Verfahren als durch Rückzug der Beschwerde erledigt abzuschreiben ist;</w:t>
      </w:r>
    </w:p>
    <w:p>
      <w:r>
        <w:t>dass der Beschwerdeführer kostenpflichtig ist ( Art. 66 BGG );</w:t>
      </w:r>
    </w:p>
    <w:p>
      <w:r>
        <w:t>dass keine Parteientschädigung zuzusprechen ist ( Art. 68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Handelsgerichtspräsidenten des Kantons St. Gallen schriftlich mitgeteilt.</w:t>
      </w:r>
    </w:p>
    <w:p>
      <w:r>
        <w:t>Lausanne, 6. Oktober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