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4A_481/2012 vom 14. Dezember 2012</w:t>
      </w:r>
    </w:p>
    <w:p>
      <w:r>
        <w:t>Bundesgericht, 2012-12-14, FR</w:t>
      </w:r>
    </w:p>
    <w:p>
      <w:r>
        <w:rPr>
          <w:b/>
        </w:rPr>
        <w:t xml:space="preserve">Quelle: </w:t>
      </w:r>
      <w:r>
        <w:t>https://mcp.opencaselaw.ch/entscheid/bger_4A_481_2012</w:t>
      </w:r>
    </w:p>
    <w:p>
      <w:r>
        <w:t>FR: TF 4A_481/2012 du 14 décembre 2012</w:t>
      </w:r>
    </w:p>
    <w:p>
      <w:r>
        <w:t>IT: TF 4A_481/2012 del 14 dicembre 2012</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Son auteur a pris part à l'instance précédente et succombé dans ses conclusions ( art. 76 al. 1 LTF ). La valeur litigieuse excède le minimum légal de 30'000 fr. (art. 51 al. 1 let. a et 74 al. 1 let. b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Il est constant que les parties se sont liées le 28 avril 2008 par un contrat de mandat et que le demandeur a chargé son cocontractant d'effectuer en son nom, avec un capital qu'il lui a confié et dans le but d'augmenter ce patrimoine, certains placements ou autres opérations qu'il lui incombait de déterminer lui-même. La gestion du défendeur ayant engendré une perte, celui-ci est poursuivi sur la base de l' art. 398 al. 2 CO , selon lequel le mandataire est responsable, envers le mandant, de la bonne et fidèle exécution du mandat.</w:t>
      </w:r>
    </w:p>
    <w:p>
      <w:r>
        <w:t>Le Tribunal de première instance et la Cour de justice ont jugé que le défendeur reste tenu aux obligations qu'il a alors contractées, nonobstant le transfert de patrimoine intervenu en faveur de A.________ SA, et que la qualité pour défendre lui incombe donc. En l'état de la cause, cette qualité doit être tenue pour établie car elle n'est pas contestée dans la réponse au recours.</w:t>
      </w:r>
    </w:p>
    <w:p>
      <w:r>
        <w:t>Les deux autorités précédentes ont aussi jugé qu'en plaçant presque tout le capital confié sur une seule valeur, soit l'action « BIDU », sans aucune espèce de diversification ni couverture, le défendeur a violé ses devoirs contractuels et engagé sa responsabilité.</w:t>
      </w:r>
    </w:p>
    <w:p>
      <w:r>
        <w:t>Le Tribunal de première instance a interprété le contrat en ce sens que le défendeur aurait dû placer trois quarts du capital confié selon la stratégie prudente et un quart selon la stratégie plus spéculative envisagées l'une et l'autre lors de l'attribution du mandat. Il a calculé que dans cette hypothèse, la perte n'aurait pas pu excéder 7'244,50 dollars d'après les exemples présents dans les documents contractuels. Ayant constaté une perte effective au montant de 33'913 dollars, le tribunal a alloué la différence à titre de dommages-intérêts, soit 26'688,50 dollars.</w:t>
      </w:r>
    </w:p>
    <w:p>
      <w:r>
        <w:t>Selon la Cour de justice, le marché des actions a connu une forte diminution des cours sur les principales places boursières du monde entier, dès le 15 septembre 2008. Au regard de cette situation, selon son appréciation, il eût incombé au demandeur d'établir le dommage au moyen d'une comparaison entre le résultat effectivement obtenu par le défendeur et celui, supposé plus favorable, d'un portefeuille hypothétique de même valeur initiale, géré conformément au contrat, pendant la même période et par un gérant normalement compétent et attentif. Le demandeur n'ayant proposé aucune base de comparaison appropriée, il n'a, selon la Cour, pas allégué ni prouvé les éléments de fait nécessaires à une estimation du dommage selon l' art. 42 al. 2 CO , de sorte qu'il ne peut pas obtenir de dommages-intérêts. C'est pourquoi la Cour annule le jugement et rejette l'action.</w:t>
      </w:r>
    </w:p>
    <w:p>
      <w:r>
        <w:rPr>
          <w:b/>
        </w:rPr>
        <w:t>E. 3</w:t>
      </w:r>
    </w:p>
    <w:p>
      <w:r>
        <w:t>La notion juridique du dommage est commune aux responsabilités contractuelle et délictuelle ( art. 99 al. 3 CO ; ATF 87 II 290 consid. 4a p. 291):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 ATF 133 III 462 consid. 4.4.2 p. 471; 132 III 359 consid. 4 p. 366; 132 III 321 consid. 2.2.1 p. 323/324).</w:t>
      </w:r>
    </w:p>
    <w:p>
      <w:r>
        <w:t>Dans plusieurs contestations concernant la responsabilité du gérant de fortune, le Tribunal fédéral a admis que le dommage peut être déterminé selon la méthode décrite par la Cour de justice, c'est-à-dire par comparaison entre le résultat du portefeuille effectivement en cause et celui d'un portefeuille hypothétique constitué et géré conformément au contrat et pendant la même période (arrêts 4A_351/2007 du 15 janvier 2008, consid. 3.2.2; 4C.18/2004 du 3 décembre 2004, consid. 2, Pra 2005 n° 73 p. 566). Cette méthode permet de prendre en considération, à l'avantage du gérant fautif, la perte que le mandant aurait probablement subie aussi avec un gérant consciencieux, par l'effet d'une baisse généralisée des cours dans la période en cause (arrêt 4C.158/2006 du 10 novembre 2006, consid. 4); cela se justifie car une perte de ce genre ne se trouve pas en lien de causalité avec l'exécution défectueuse du contrat.</w:t>
      </w:r>
    </w:p>
    <w:p>
      <w:r>
        <w:rPr>
          <w:b/>
        </w:rPr>
        <w:t>E. 4</w:t>
      </w:r>
    </w:p>
    <w:p>
      <w:r>
        <w:t>Selon l' art. 42 al. 1 CO , la preuve d'un dommage incombe à celui qui en demande réparation. L' 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Au demeurant, l'estimation du dommage relève de la constatation des faits et elle échappe donc, sous réserve de la protection contre l'arbitraire, au contrôle du Tribunal fédéral ( ATF 131 III 360 consid. 5.1 p. 363/364; voir aussi ATF 133 III 462 consid. 4.4.2 p. 471).</w:t>
      </w:r>
    </w:p>
    <w:p>
      <w:r>
        <w:t>Si, dans le procès, le lésé ne satisfait pas entièrement à son devoir de fournir des éléments utiles à l'estimation, l'une des conditions dont dépend l'application de l' art. 42 al. 2 CO n'est pas réalisée, alors même que, le cas échéant, l'existence d'un dommage est certaine. Le lésé est alors déchu du bénéfice de cette disposition; la preuve du dommage n'est pas apportée et, en conséquence, conformément au principe de l' art. 8 CC (cf. ATF 126 III 189 consid. 2b p. 191/192), le juge doit refuser la réparation (arrêt 4A_154/2009 du 8 septembre 2009, consid. 6).</w:t>
      </w:r>
    </w:p>
    <w:p>
      <w:r>
        <w:rPr>
          <w:b/>
        </w:rPr>
        <w:t>E. 5</w:t>
      </w:r>
    </w:p>
    <w:p>
      <w:r>
        <w:t>La Cour de justice retient que la gestion insuffisamment prudente du défendeur n'était pas conforme à ses devoirs contractuels. A l'appui du recours en matière civile, le demandeur insiste très abondamment, mais inutilement, sur cet élément qui n'est plus à démontrer. Ses critiques concernent surtout les constatations de la Cour relative à la réelle et commune intention des parties lors de la conclusion du contrat; elles n'ont pas d'incidence sur l'issue de la cause et elles sont donc irrecevables au regard de l' art. 97 al. 1 LTF .</w:t>
      </w:r>
    </w:p>
    <w:p>
      <w:r>
        <w:t>Au sujet du dommage donnant lieu à réparation, le demandeur présente une argumentation confuse. S'il avait su que le défendeur placerait son capital selon une stratégie divergeant de celle contractuellement convenue, il ne le lui aurait prétendument pas confié et il l'aurait donc intégralement conservé, sans subir aucune perte. Il reconnaît cependant qu'une gestion même prudente et conforme au contrat pouvait comporter le placement du capital en actions; il admet pour ce motif qu'à concurrence de 2'906,40 dollars, la perte subie par lui n'est pas imputable à la mauvaise gestion du défendeur. Il calcule ce chiffre d'après l'exemple de stratégie prudente présent dans les documents contractuels.</w:t>
      </w:r>
    </w:p>
    <w:p>
      <w:r>
        <w:t>La baisse généralisée des cours dès le 15 septembre 2008 est un fait notoire qui n'est d'ailleurs pas contesté par le demandeur. Pour appliquer correctement l' art. 398 al. 2 CO et déterminer l'ampleur du dommage à réparer par le défendeur, il s'imposait de prendre cette baisse en considération, de sorte que le dommage ne pouvait pas être établi autrement qu'au moyen de la méthode comparative déjà décrite. Au regard de la jurisprudence précitée relative à l' art. 42 al. 2 CO , il incombait au demandeur d'alléguer une base de comparaison pertinente. L'exemple tiré des documents contractuels n'est que sommairement rapporté dans la décision attaquée; on sait néanmoins qu'il ne se rapporte qu'à une seule action cotée et qu'il n'a aucun lien avec la période concernée. Il ne constitue donc pas une base de comparaison pertinente. Le demandeur se prétend hors d'état, en raison de son inexpérience dans le domaine financier, de présenter un portefeuille hypothétique aux fins de la comparaison, mais il pouvait et devait se faire conseiller dans ce but, en vue du procès, et cet argument ne parvient donc pas à mettre en évidence une violation du droit. Au contraire, l'autorité précédente juge avec raison que l'action en dommages-intérêts doit être rejetée parce que la preuve du dommage n'a pas été apportée.</w:t>
      </w:r>
    </w:p>
    <w:p>
      <w:r>
        <w:rPr>
          <w:b/>
        </w:rPr>
        <w:t>E. 6</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