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4A_481/2010 vom 15. März 2011</w:t>
      </w:r>
    </w:p>
    <w:p>
      <w:r>
        <w:t>Bundesgericht, 2011-03-15, FR</w:t>
      </w:r>
    </w:p>
    <w:p>
      <w:r>
        <w:rPr>
          <w:b/>
        </w:rPr>
        <w:t xml:space="preserve">Quelle: </w:t>
      </w:r>
      <w:r>
        <w:t>https://mcp.opencaselaw.ch/entscheid/bger_4A_481_2010</w:t>
      </w:r>
    </w:p>
    <w:p>
      <w:r>
        <w:t>FR: TF 4A_481/2010 du 15 mars 2011</w:t>
      </w:r>
    </w:p>
    <w:p>
      <w:r>
        <w:t>IT: TF 4A_481/2010 del 15 marzo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utilisé l'anglais. Dans le mémoire qu'elle a adressé au Tribunal fédéral, la recourante a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ou du délai de recours, aucune de ces conditions de recevabilité ne fait problème en l'espèce.</w:t>
      </w:r>
    </w:p>
    <w:p>
      <w:r>
        <w:t>Tel n'est pas le cas, en revanche, des conclusions de la recourante visant autre chose que l'annulation de la sentence attaquée. Semblables conclusions méconnaissent, en effet, le caractère purement cassatoire du recours en matière civile dirigé contre une sentence arbitrale internationale, lequel ne souffre que de rares exceptions n'entrant pas en ligne de compte en l'espèce (cf. l' art. 77 al. 2 LTF qui exclut l'application de l' art. 107 al. 2 LTF ).</w:t>
      </w:r>
    </w:p>
    <w:p>
      <w:r>
        <w:rPr>
          <w:b/>
        </w:rPr>
        <w:t>E. 3</w:t>
      </w:r>
    </w:p>
    <w:p>
      <w:r>
        <w:t>Dans un premier moyen, fondé sur l' art. 190 al. 2 let . e LDIP, la recourante reproche au Tribunal arbitral d'avoir méconnu le principe de la fidélité contractuelle, qui constitue l'un des éléments de l'ordre public matériel.</w:t>
      </w:r>
    </w:p>
    <w:p>
      <w:r>
        <w:rPr>
          <w:b/>
        </w:rPr>
        <w:t>E. 3.1</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4A_440/2010 du 7 janvier 2011consid. 5.1.2 et l'arrêt cité).</w:t>
      </w:r>
    </w:p>
    <w:p>
      <w:r>
        <w:rPr>
          <w:b/>
        </w:rPr>
        <w:t>E. 3.2</w:t>
      </w:r>
    </w:p>
    <w:p>
      <w:r>
        <w:t>La recourante fait totalement fi de cette jurisprudence, pourtant établie de longue date et sans cesse rappelée. Elle cherche à démontrer que le Tribunal arbitral n'aurait pas interprété l'un des quatre contrats de services de la même manière que l'un des trois autres contrats similaires, s'agissant du point de départ du délai de prescription applicable aux créances relatives aux commissions dues par l'intimée. Pareille tentative est d'emblée vouée à l'échec, car elle ne met pas en jeu le principe de la fidélité contractuelle, tel qu'il est défini par la jurisprudence susmentionnée.</w:t>
      </w:r>
    </w:p>
    <w:p>
      <w:r>
        <w:t>En l'occurrence, le Tribunal arbitral, appliquant les règles de droit pertinentes aux faits retenus par lui, a considéré que certaines des prétentions litigieuses étaient prescrites et d'autres pas. Il a rejeté les conclusions se rapportant à celles-là et admis les conclusions afférentes à celles-ci. Cette seule constatation commande le rejet du moyen pris de la violation du principe pacta sunt servanda.</w:t>
      </w:r>
    </w:p>
    <w:p>
      <w:r>
        <w:rPr>
          <w:b/>
        </w:rPr>
        <w:t>E. 4</w:t>
      </w:r>
    </w:p>
    <w:p>
      <w:r>
        <w:t>En second lieu, la recourante se plaint, toujours au titre de la violation de l'ordre public, du fait que le Tribunal arbitral aurait rendu une sentence intrinsèquement contradictoire quant à la définition des services qu'elle devait rendre dans l'un des quatre contrats conclus avec l'intimée.</w:t>
      </w:r>
    </w:p>
    <w:p>
      <w:r>
        <w:t>Dans l'arrêt 4A_464/2009 du 15 février 2010, le Tribunal fédéral, revenant sur la jurisprudence qu'invoque la recourante (arrêts 4P.198/1998 du 17 février 1999 consid. 4a et 4P.99/2000 du 10 novembre 2000 consid. 3b/aa), a jugé que le moyen pris de l'incohérence intrinsèque des considérants d'une sentence n'entre pas dans la définition de l'ordre public matériel (consid. 5.1; voir aussi l'arrêt 4A_386/2010 du 3 janvier 2011 consid. 8.3.1).</w:t>
      </w:r>
    </w:p>
    <w:p>
      <w:r>
        <w:t>Il suit de là que le moyen soulevé tombe manifestement à faux.</w:t>
      </w:r>
    </w:p>
    <w:p>
      <w:r>
        <w:rPr>
          <w:b/>
        </w:rPr>
        <w:t>E. 5</w:t>
      </w:r>
    </w:p>
    <w:p>
      <w:r>
        <w:t>Pour le surplus, les griefs formulés aux pages 26/27 de l'acte de recours, sur un mode purement appellatoire et avec des renvois inadmissibles à une écriture soumise au Tribunal arbitral (cf. arrêt 4A_25/2009 du 16 février 2009 consid. 3.1 et les références), sont irrecevables.</w:t>
      </w:r>
    </w:p>
    <w:p>
      <w:r>
        <w:rPr>
          <w:b/>
        </w:rPr>
        <w:t>E. 6</w:t>
      </w:r>
    </w:p>
    <w:p>
      <w:r>
        <w:t>Le présent recours ne peut ainsi qu'être rejeté dans la mesure où il est recevable. La recourante, qui succombe, devra payer les frais de la procédure fédérale ( art. 66 al. 1 LTF ) et verser des dépens à l'intimée ( art. 68 al. 1 et 2 LTF ); ceux-ci seront prélevés sur les sûretés déposées par elle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