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480/2023 vom 6. Dezember 2023</w:t>
      </w:r>
    </w:p>
    <w:p>
      <w:r>
        <w:t>Bundesgericht, 2023-12-06, DE</w:t>
      </w:r>
    </w:p>
    <w:p>
      <w:r>
        <w:rPr>
          <w:b/>
        </w:rPr>
        <w:t xml:space="preserve">Quelle: </w:t>
      </w:r>
      <w:r>
        <w:t>https://mcp.opencaselaw.ch/entscheid/bger_4A_480_2023</w:t>
      </w:r>
    </w:p>
    <w:p>
      <w:r>
        <w:t>FR: TF 4A 480/2023 du 6 décembre 2023</w:t>
      </w:r>
    </w:p>
    <w:p>
      <w:r>
        <w:t>IT: TF 4A 480/2023 del 6 dicembre 2023</w:t>
      </w:r>
    </w:p>
    <w:p>
      <w:pPr>
        <w:pStyle w:val="Heading2"/>
      </w:pPr>
      <w:r>
        <w:t>Regeste</w:t>
      </w:r>
    </w:p>
    <w:p>
      <w:r>
        <w:t>Mieterausweisung, | Vertragsrecht</w:t>
      </w:r>
    </w:p>
    <w:p>
      <w:pPr>
        <w:pStyle w:val="Heading2"/>
      </w:pPr>
      <w:r>
        <w:t>Erwägungen</w:t>
      </w:r>
    </w:p>
    <w:p>
      <w:r>
        <w:rPr>
          <w:b/>
        </w:rPr>
        <w:t>E. 1.1</w:t>
      </w:r>
    </w:p>
    <w:p>
      <w:r>
        <w:t>Die Beschwerde an das Bundesgericht ist nur gegen Entscheide letzter kantonaler Instanzen zulässig ( Art. 75 Abs. 1 BGG ). Auf die Beschwerde ist daher nicht einzutreten, soweit sie sich gegen den Entscheid des Bezirksgerichts vom 31. März 2023 richtet, da es sich dabei nicht um einen letztinstanzlichen Entscheid im Sinne von Art. 75 Abs. 1 BGG handelt.</w:t>
      </w:r>
    </w:p>
    <w:p>
      <w:r>
        <w:rPr>
          <w:b/>
        </w:rPr>
        <w:t>E. 1.2</w:t>
      </w:r>
    </w:p>
    <w:p>
      <w:r>
        <w:t>Im Übrigen sind die Sachurteilsvoraussetzungen erfüllt, insbesondere auch das Streitwerterfordernis von Art. 74 Abs. 1 lit. a BGG mit von der Vorinstanz ausgewiesenem Streitwert von Fr. 51'300.--, und geben zu keinen weiteren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 Art. 257d Abs. 1 OR ). Bezahlt der Mieter innert der gesetzten Frist nicht, so kann der Vermieter fristlos, bei Wohn- und Geschäftsräumen mit einer Frist von mindestens 30 Tagen auf Ende eines Monats kündigen ( Art. 257d Abs. 2 OR ).</w:t>
      </w:r>
    </w:p>
    <w:p>
      <w:r>
        <w:rPr>
          <w:b/>
        </w:rPr>
        <w:t>E. 3.2</w:t>
      </w:r>
    </w:p>
    <w:p>
      <w:r>
        <w:t>Gemäss Art. 257 Abs. 1 ZPO gewährt das Gericht Rechtsschutz im summarischen Verfahren, wenn der Sachverhalt unbestritten oder sofort beweisbar ist (lit. a) und die Rechtslage klar ist (lit. b).</w:t>
      </w:r>
    </w:p>
    <w:p>
      <w:r>
        <w:rPr>
          <w:b/>
        </w:rPr>
        <w:t>E. 3.2.1</w:t>
      </w:r>
    </w:p>
    <w:p>
      <w:r>
        <w:t>Ein Sachverhalt ist dann sofort beweisbar im Sinne von Art. 257 Abs. 1 lit. a ZPO ,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substanziiert und schlüssig Einwendungen vorträgt, die in tatsächlicher Hinsicht nicht sofort widerlegt werden können und die geeignet sind, die bereits gebildete richterliche Überzeugung zu erschüttern ( BGE 144 III 462 E. 3.1; 141 III 23 E. 3.2; 138 III 620 E. 5.1.1).</w:t>
      </w:r>
    </w:p>
    <w:p>
      <w:r>
        <w:rPr>
          <w:b/>
        </w:rPr>
        <w:t>E. 3.2.2</w:t>
      </w:r>
    </w:p>
    <w:p>
      <w:r>
        <w:t>Die Rechtslage ist klar im Sinne von Art. 257 Abs. 1 lit. b ZPO , wenn sich die Rechtsfolge bei der Anwendung des Gesetzes unter Berücksichtigung der Lehre und Rechtsprechung ohne Weiteres ergibt und damit die Rechtsanwendung zu einem eindeutigen Ergebnis führt ( BGE 141 III 23 E. 3.2; 138 III 123 E. 2.1.2). 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4A_12/2023 vom 31. März 2023 E. 3.2; 4A_25/2019 vom 15. April 2019 E. 3; 4A_185/2017 vom 15. Juni 2017 E. 5.4; 4A_2/2016 vom 18. Februar 2016 E. 2.1; je mit weiteren Hinweisen).</w:t>
      </w:r>
    </w:p>
    <w:p>
      <w:r>
        <w:rPr>
          <w:b/>
        </w:rPr>
        <w:t>E. 3.2.3</w:t>
      </w:r>
    </w:p>
    <w:p>
      <w:r>
        <w:t>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 BGE 141 III 262 E. 3.2). Damit das vom Gesetzgeber mit Art. 243 Abs. 2 lit. c i.V.m. Art. 247 Abs. 2 lit. a ZPO für den mietrechtlichen Kündigungsschutz verfolgte Ziel nicht über den Rechtsschutz in klaren Fällen unterlaufen werden kann, ist dieser nur zu gewähren, wenn keine Zweifel an der Vollständigkeit der Sachverhaltsdarstellung bestehen und die Kündigung gestützt darauf als klar berechtigt erscheint ( BGE 142 III 515 E. 2.2.4; Urteil 4A_12/2023 vom 31. März 2023 E. 4).</w:t>
      </w:r>
    </w:p>
    <w:p>
      <w:r>
        <w:rPr>
          <w:b/>
        </w:rPr>
        <w:t>E. 4.1</w:t>
      </w:r>
    </w:p>
    <w:p>
      <w:r>
        <w:t>Die Vorinstanz stützt sich auf diese Rechtsprechung und bejahte mit der Erstinstanz eine klare Sach- und Rechtslage im vorliegenden Ausweisungsverfahren. Sie legte dar, dass die Zahlungsfristansetzung und die Kündigungsandrohnung der Beschwerdegegnerin mangels Unterschrift zwar formungültig seien. Die Erstinstanz habe unter den vorliegenden Umständen aber die Berufung der Beschwerdeführer auf den Formmangel zurecht als rechtsmissbräuchlich angesehen. Die Vorinstanz führte im Weiteren aus, dass die Mietsache von der F.________ AG auf die Da.________ AG und danach auf die Db.________ AG (umfirmiert auf Da.________ AG) infolge Universalsukzession übergegangen sei und daher Art. 261 OR entgegen der Auffassung der Beschwerdeführer nicht anwendbar sei. Die Beschwerdegegnerin sei als Vermieterin zur Kündigung des Mietverhältnisses berechtigt gewesen. An der Rechtsgültigkeit der Zahlungsaufforderung und der Kündigungsandrohung sowie der Kündigung ändere unter den gegebenen Umständen auch nichts, dass die jeweiligen aufgeführten "Kontaktpersonen" nicht Organe oder Prokuristen der Immobilien- und Verwaltungs AG gewesen seien. Die Fristen von Art. 257d OR seien schliesslich eingehalten worden und im Zeitpunkt der Kündigung des Mietverhältnisses am 29. März 2022 sei der Mietzins für Januar 2022 - entgegen der Auffassung der Beschwerdeführer - noch offen gewesen. Die Erstinstanz habe somit zutreffend erkannt, dass die Voraussetzungen für die Ausweisung der Beschwerdeführer 1 und 2 aus der Wohnung erfüllt seien.</w:t>
      </w:r>
    </w:p>
    <w:p>
      <w:r>
        <w:rPr>
          <w:b/>
        </w:rPr>
        <w:t>E. 4.2</w:t>
      </w:r>
    </w:p>
    <w:p>
      <w:r>
        <w:t>Dagegen werfen die Beschwerdeführer der Vorinstanz eine Verletzung von Art. 257 ZPO und Art. 257d OR vor. Sie beharren jedoch lediglich auf ihren bereits vor der Vorinstanz dargelegten Standpunkten (insbesondere Formmangel von Zahlungsfristansetzung und Kündigungsandrohnung; fehlende "Rechtszuständigkeit" der Beschwerdegegnerin zur Aussprechung der Kündigung; kein Zahlungsverzug, da alle Mietzinsen bezahlt worden seien). Sie setzen sich hingegen nicht rechtsgenüglich mit den Erwägungen der Vorinstanz auseinander noch vermögen sie hinreichend darzulegen (Erwägung 2.1), inwiefern diese gegen Bundesrecht verstossen haben soll, als sie das Gesuch der Beschwerdegegnerin um Ausweisung gutgeheissen bzw. die dagegen gerichtete Berufung abgewiesen hat.</w:t>
      </w:r>
    </w:p>
    <w:p>
      <w:r>
        <w:rPr>
          <w:b/>
        </w:rPr>
        <w:t>E. 5</w:t>
      </w:r>
    </w:p>
    <w:p>
      <w:r>
        <w:t>Die Beschwerdeführer rügen eine Verletzung ihres Anspruchs auf rechtliches Gehör. Die Vorinstanz habe sich mit ihren Vorbringen nicht genügend auseinander gesetzt, obschon diese "durchaus entscheidrelevant gewesen wären". Ob die Beschwerdeführer mit diesem pauschalen Vorwurf den Begründungsanforderungen genügen (Erwägung 2.1), ist höchst fraglich. Indessen kann dem Standpunkt ohnehin nicht gefolgt werden: Um dem Gehörsanspruch zu genügen, muss die vorinstanzliche Begründung so abgefasst sein, dass sich die Beschwerdeführer über die Tragweite des vorinstanzlichen Entscheids Rechenschaft geben und ihn in voller Kenntnis der Sache an das Bundesgericht weiterziehen können. In diesem Sinne hat die Vorinstanz wenigstens kurz die Überlegungen zu nennen, von denen sie sich hat leiten lassen und auf die sich ihr Entscheid stützt ( Art. 29 Abs. 2 BV ; BGE 143 III 65 E. 5.2 mit Hinweisen). Diesen Anforderungen genügt der angefochtene Entscheid ohne Weiteres. Die Vorinstanz ging im Einzelnen auf die Vorbringen der Beschwerdeführer gegen den erstinstanzlichen Entscheid ein und verwarf sie alle, wobei sie jeweils klar ihre Überlegungen nannte, von denen sie sich hat leiten lassen (oben Erwägung 4.1). Das erlaubte den Beschwerdeführern, den Entscheid am Bundesgericht anzufechten.</w:t>
      </w:r>
    </w:p>
    <w:p>
      <w:r>
        <w:rPr>
          <w:b/>
        </w:rPr>
        <w:t>E. 6</w:t>
      </w:r>
    </w:p>
    <w:p>
      <w:r>
        <w:t>Die Beschwerde ist abzuweisen, soweit darauf überhaupt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