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4A_480/2021 vom 9. November 2022</w:t>
      </w:r>
    </w:p>
    <w:p>
      <w:r>
        <w:t>Bundesgericht, 2022-11-09, FR</w:t>
      </w:r>
    </w:p>
    <w:p>
      <w:r>
        <w:rPr>
          <w:b/>
        </w:rPr>
        <w:t xml:space="preserve">Quelle: </w:t>
      </w:r>
      <w:r>
        <w:t>https://mcp.opencaselaw.ch/entscheid/bger_4A_480_2021</w:t>
      </w:r>
    </w:p>
    <w:p>
      <w:r>
        <w:t>FR: TF 4A_480/2021 du 9 novembre 2022</w:t>
      </w:r>
    </w:p>
    <w:p>
      <w:r>
        <w:t>IT: TF 4A_480/2021 del 9 novembre 2022</w:t>
      </w:r>
    </w:p>
    <w:p>
      <w:pPr>
        <w:pStyle w:val="Heading2"/>
      </w:pPr>
      <w:r>
        <w:t>Erwägungen</w:t>
      </w:r>
    </w:p>
    <w:p>
      <w:r>
        <w:rPr>
          <w:b/>
        </w:rPr>
        <w:t>E. 1</w:t>
      </w:r>
    </w:p>
    <w:p>
      <w:r>
        <w:t>Interjeté en temps utile ( art. 100 al. 1 LTF et 46 al. 1 let. b LTF) par la partie qui a succombé dans ses conclusions ( art. 76 al. 1 LTF ), le recours est dirigé contre un arrêt final ( art. 90 LTF ) rendu sur appel par un tribunal cantonal supérieur ( art. 75 LTF ) dans une affaire civile de droit des contrats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soutient que les conditions de la responsabilité du mandataire au sens de l' art. 398 CO sont toutes remplies, et que la fiduciaire intimée doit réparer le dommage qu'elle a subi. La recourante se plaint de ce que la cour cantonale n'a pas retenu qu'elle avait subi un dommage.</w:t>
      </w:r>
    </w:p>
    <w:p>
      <w:r>
        <w:rPr>
          <w:b/>
        </w:rPr>
        <w:t>E. 3.1</w:t>
      </w:r>
    </w:p>
    <w:p>
      <w:r>
        <w:t>Il n'est pas contesté que la recourante est liée à l'intimée par un contrat soumis aux règles du mandat ( art. 394 ss CO ).</w:t>
      </w:r>
    </w:p>
    <w:p>
      <w:r>
        <w:rPr>
          <w:b/>
        </w:rPr>
        <w:t>E. 3.2</w:t>
      </w:r>
    </w:p>
    <w:p>
      <w:r>
        <w:t>L' art. 398 al. 1 CO renvoie aux règles régissant la responsabilité du travailleur dans les rapports de travail, soit à l' art. 321e CO . Il en découle que la responsabilité du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 art. 8 CC ), sauf pour la faute qui est présumée ( art. 97 al. 1 CO ) (cf. ATF 133 III 121 consid. 3.1; arrêt 4A_457/2017 du 3 avril 2018 consid. 4.2).</w:t>
      </w:r>
    </w:p>
    <w:p>
      <w:r>
        <w:rPr>
          <w:b/>
        </w:rPr>
        <w:t>E. 3.3</w:t>
      </w:r>
    </w:p>
    <w:p>
      <w:r>
        <w:t>Le dommage se définit habituellement comme la diminution involontaire de la fortune nette: il correspond à la différence entre le montant actuel du patrimoine du lésé et le montant que ce même patrimoine aurait si l'événement dommageable ne s'était pas produit ( ATF 147 III 463 consid. 4.2.1; 132 III 359 consid. 4; 129 III 331 consid. 2.1; 128 III 22 consid. 2e/aa; 127 III 73 consid. 4a). Il peut se présenter sous la forme d'une diminution de l'actif, d'une augmentation du passif, d'une non-augmentation de l'actif ou d'une non-diminution du passif ( ATF 132 III 359 , précité, consid. 4; 128 III 22 , précité, consid. 2e/aa; 127 III 543 , précité, consid. 2b).</w:t>
      </w:r>
    </w:p>
    <w:p>
      <w:r>
        <w:t>Dire s'il y a eu dommage et quelle en est la quotité est une question de fait qui lie en principe le Tribunal fédéral ( art. 105 al. 1 et 2 LTF ). En revanche, dire si la notion juridique du dommage a été méconnue et déterminer si l'autorité cantonale s'est fondée sur des principes de calcul admissibles pour le fixer est une question de droit ( art. 106 al. 1 LTF ; ATF 139 V 176 consid. 8.1.3; 132 III 359 consid. 4; 130 III 145 consid. 6.2; arrêt 5A_388/2018 du 3 avril 2019 consid. 5.5.1).</w:t>
      </w:r>
    </w:p>
    <w:p>
      <w:r>
        <w:rPr>
          <w:b/>
        </w:rPr>
        <w:t>E. 3.4</w:t>
      </w:r>
    </w:p>
    <w:p>
      <w:r>
        <w:t>Sous le titre de la violation de l'interdiction de l'arbitraire ( art. 9 Cst. ) et l'établissement manifestement inexact des faits, la recourante reproche à la cour cantonale d'avoir écarté sans motivation suffisante, l'expertise judiciaire concluant à l'existence d'un dommage.</w:t>
      </w:r>
    </w:p>
    <w:p>
      <w:r>
        <w:rPr>
          <w:b/>
        </w:rPr>
        <w:t>E. 3.4.1</w:t>
      </w:r>
    </w:p>
    <w:p>
      <w:r>
        <w:t>En l'espèce, se penchant sur la question de la notion juridique du dommage, la cour cantonale a considéré que le dommage en matière de responsabilité du mandataire correspondait à la différence entre le montant actuel du patrimoine de l'acquéresse et le montant de ce même patrimoine si l'événement dommageable ne s'était pas produit. A cet égard, la cour cantonale a considéré que l'acquéresse avait suffisamment allégué quel était le montant actuel de son patrimoine et que celui-ci faisait l'objet de l'expertise, mais n'avait pas allégué le montant de celui-ci dans l'éventualité où l'événement dommageable ne se serait pas produit. Il aurait fallu pour ce faire, qu'elle indique quelles décisions elle aurait prises, si l'événement dommageable ne s'était pas produit, à savoir si elle avait connu le résultat correct de l'exercice comptable 2010. Autrement dit, si elle aurait alors acheté le capital-actions pour un montant inférieur ou si elle aurait renoncé à son acquisition. Sur la base de ces deux informations, l'acquéresse aurait pu alléguer son dommage d'une manière conforme à la notion juridique du dommage, telle que définie par la jurisprudence. L'expertise, établie sur la base des allégués de la demanderesse, faisait seulement état de la valeur d'acquisition de la société, de la valeur réelle de celle-ci au 31 décembre 2010 ainsi que de la différence entre ces deux valeurs.</w:t>
      </w:r>
    </w:p>
    <w:p>
      <w:r>
        <w:rPr>
          <w:b/>
        </w:rPr>
        <w:t>E. 3.4.2</w:t>
      </w:r>
    </w:p>
    <w:p>
      <w:r>
        <w:t>Une telle manière de procéder ne tient pas compte de la notion juridique du dommage puisqu'elle n'intègre pas la valeur du patrimoine de l'acquéresse sans la survenance de l'événement dommageable. Par conséquent, c'est à raison que la cour cantonale a considéré que l'acquéresse n'avait pas allégué tous les paramètres permettant de déterminer son dommage, mais une autre valeur - la valeur réelle de la société au 31 décembre 2010 - laquelle n'entre pas en ligne de compte pour la détermination du dommage. La cour cantonale n'a donc pas versé dans l'arbitraire en écartant le rapport d'expertise sans en discuter les conclusions, dès lors qu'elle a considéré que celui-ci tendait à prouver un fait non pertinent pour déterminer le dommage provoqué par un mandataire, et que l'acquéresse n'avait ainsi pas allégué son dommage.</w:t>
      </w:r>
    </w:p>
    <w:p>
      <w:r>
        <w:rPr>
          <w:b/>
        </w:rPr>
        <w:t>E. 3.5</w:t>
      </w:r>
    </w:p>
    <w:p>
      <w:r>
        <w:t>La recourante ne démontre donc pas que la cour cantonale aurait établi les faits de manière manifestement inexacte (cf. consid. 2.2), de sorte que son grief doit être rejeté.</w:t>
      </w:r>
    </w:p>
    <w:p>
      <w:r>
        <w:rPr>
          <w:b/>
        </w:rPr>
        <w:t>E. 4</w:t>
      </w:r>
    </w:p>
    <w:p>
      <w:r>
        <w:t>La recourante reproche encore à la cour cantonale d'avoir considéré qu'elle n'avait pas allégué ni prouvé le dommage qu'elle prétend avoir subi, invoquant une violation de l' art. 55 CPC et l' art. 8 CC .</w:t>
      </w:r>
    </w:p>
    <w:p>
      <w:r>
        <w:t>La recourante soutient qu'il ne peut lui être reproché d'avoir omis d'alléguer les faits et de les prouver, dès lorsqu'elle a allégué l'existence du dommage et offert de le prouver par le biais d'une expertise ainsi que par l'audition de témoins disposant de connaissances spécifiques. Elle soutient en outre une nouvelle fois, bien que cette fois sous l'angle de la violation du droit, que la cour cantonale ne pouvait pas s'écarter de l'expertise judiciaire sans de bonnes raisons ou d'objections sérieuses à la force probante des déclarations de l'expert.</w:t>
      </w:r>
    </w:p>
    <w:p>
      <w:r>
        <w:rPr>
          <w:b/>
        </w:rPr>
        <w:t>E. 4.1</w:t>
      </w:r>
    </w:p>
    <w:p>
      <w:r>
        <w:t>En vertu de l' art. 42 al. 1 CO , le demandeur doit en principe prouver non seulement l'existence du dommage, mais aussi son montant.</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Le demandeur, qui supporte le fardeau de l'allégation objectif (objektive Behauptungslast) et le fardeau de la preuve (objektive Beweislast;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w:t>
      </w:r>
    </w:p>
    <w:p>
      <w:r>
        <w:rPr>
          <w:b/>
        </w:rPr>
        <w:t>E. 4.2</w:t>
      </w:r>
    </w:p>
    <w:p>
      <w:r>
        <w:t>La cour cantonale a considéré qu'il incombait à la recourante de démontrer qu'elle aurait pu, si elle avait disposé d'informations correctes, acquérir F.________ SA pour un montant inférieur à celui qu'elle a payé. Il lui aurait suffi, selon la cour cantonale, de prouver avec une vraisemblance prépondérante que les négociations auraient pu aboutir à un prix inférieur, de telle sorte que son dommage aurait résidé dans la différence entre le prix convenu et le prix qu'elle aurait payé en cas d'exécution correcte du mandat. Alternativement, la recourante aurait pu démontrer que si elle avait connu la situation comptable réelle de F.________ SA, elle aurait renoncé à son projet d'acquisition.</w:t>
      </w:r>
    </w:p>
    <w:p>
      <w:r>
        <w:t>La cour cantonale a constaté que la recourante n'avait pas fourni, dans ses écritures de première instance, d'éléments permettant de déterminer le prix auquel elle aurait pu acquérir F.________ SA si elle avait été correctement renseignée. Une telle information était pourtant nécessaire pour évaluer son dommage. La recourante n'avait pas davantage allégué et offert de prouver dans sa demande, qu'elle aurait renoncé à acquérir F.________ SA si l'intimée avait agi avec diligence.</w:t>
      </w:r>
    </w:p>
    <w:p>
      <w:r>
        <w:rPr>
          <w:b/>
        </w:rPr>
        <w:t>E. 4.3</w:t>
      </w:r>
    </w:p>
    <w:p>
      <w:r>
        <w:t>Sur cette base, la cour cantonale a donc écarté à juste titre l'expertise, en tant qu'elle déterminait la valeur du patrimoine de la recourante ainsi que la valeur réelle de la société en 2010, mais pas le prix auquel la recourante aurait pu acquérir la société si l'événement dommageable ne s'était pas produit. La recourante soutient qu'elle a payé un prix surfait au lieu de son juste prix, mais cette dernière notion n'entre pas en ligne de compte pour déterminer le dommage en cas de violation du devoir de diligence du mandataire. La recourante considère au demeurant que le juste prix est celui de la valorisation de la société selon la méthode des multiples du bénéfice, à laquelle les parties ont eu recours dans l'évaluation de la valeur de la société, mais ne tient pas compte des volontés du vendeur et de l'acquéresse. Rien n'indique que le vendeur aurait accepté de vendre la société à un tel prix. Un autre acquéreur aurait pu par exemple soumettre une offre à un prix supérieur et empêcher l'acquisition par la recourante, le vendeur aurait pu décliner l'offre de la recourante, ou la recourante aurait encore pu formuler une offre supérieure à la valeur de l'entreprise, si elle était particulièrement intéressée à l'acquisition de celle-ci. La recourante n'a en l'espèce pas allégué de tel fait, de sorte que c'est à bon droit que la cour cantonale a confirmé le jugement de première instance qui retenait que la recourante n'avait pas allégué les paramètres qui permettaient de déterminer un prix d'acquisition inférieur, et que l'expertise parvenait à un résultat ne correspondant de toute façon pas au dommage au sens du droit. La cour cantonale n'a pas violé les art. 55 CPC et 8 CC. Le grief de la recourante doit donc être rejeté.</w:t>
      </w:r>
    </w:p>
    <w:p>
      <w:r>
        <w:rPr>
          <w:b/>
        </w:rPr>
        <w:t>E. 5</w:t>
      </w:r>
    </w:p>
    <w:p>
      <w:r>
        <w:t>Dans un grief subsidiaire, la recourante se plaint de ce que la cour cantonale n'aurait pas procédé à une détermination équitable du dommage.</w:t>
      </w:r>
    </w:p>
    <w:p>
      <w:r>
        <w:rPr>
          <w:b/>
        </w:rPr>
        <w:t>E. 5.1</w:t>
      </w:r>
    </w:p>
    <w:p>
      <w:r>
        <w:t>Lorsque le montant exact du dommage ne peut être établi, le juge le détermine équitablement en considération du cours ordinaire des choses et des mesures prises par la partie lésée ( art. 42 al. 2 CO ).</w:t>
      </w:r>
    </w:p>
    <w:p>
      <w:r>
        <w:t>Néanmoins, il incombe toujours au demandeur la charge de fournir au tribunal, dans la mesure où cela est possible et où on peut l'attendre de lui, tous les éléments de fait qui constituent des indices de l'existence du dommage et qui permettent ou facilitent son estimation. L'allègement de la charge de la preuve n'accorde pas au lésé la faculté de formuler, sans indications plus précises, des prétentions en dommages-intérêts de n'importe quelle ampleur ( ATF 131 III 360 consid. 5.1 p. 363 s.; 122 III 219 consid. 3a). Par conséquent, si le lésé ne satisfait pas entièrement à son devoir de fournir des éléments utiles à l'estimation, l' art. 42 al. 2 CO ne s'applique pas, même si le lésé a démontré l'existence d'un dommage (arrêts 4A_97/2017 du 4 octobre 2017 consid. 4.1.3, 4A_651/2015 du 19 avril 2016 consid. 3). Conformément au principe de l' art. 8 CC , le juge doit alors refuser la réparation (arrêts 4A_651/2015 précité consid. 3; 4A_431/2015 du 19 avril 2016 consid. 5.1.2 et les arrêts cités).</w:t>
      </w:r>
    </w:p>
    <w:p>
      <w:r>
        <w:rPr>
          <w:b/>
        </w:rPr>
        <w:t>E. 5.2</w:t>
      </w:r>
    </w:p>
    <w:p>
      <w:r>
        <w:t>En l'espèce, la cour cantonale a relevé que la recourante n'a pas allégué quel montant elle aurait été prête à payer pour acquérir la société si l'événement dommageable n'avait pas eu lieu, de sorte qu'elle n'a pas fourni les éléments utiles à l'estimation. C'est donc à bon droit que la cour cantonale n'a pas procédé à une détermination du dommage en équité, puisqu'elle ne disposait pas des paramètres qui lui auraient permis d'estimer ce dommage. Il aurait effectivement suffi à la recourante de rendre vraisemblable le montant pour lequel elle aurait pu acquérir la société si l'événement dommageable ne s'était pas produit, pour qu'elle ait suffisamment allégué les paramètres permettant au tribunal de déterminer le montant de son dommage en équité.</w:t>
      </w:r>
    </w:p>
    <w:p>
      <w:r>
        <w:t>Le grief doit donc être rejeté.</w:t>
      </w:r>
    </w:p>
    <w:p>
      <w:r>
        <w:rPr>
          <w:b/>
        </w:rPr>
        <w:t>E. 6</w:t>
      </w:r>
    </w:p>
    <w:p>
      <w:r>
        <w:t>Au vu de ce qui précède, le recours doit être rejeté. La recourante qui succombe, prendra en charge les frais de la procédure et versera une indemnité de dépens à l'intimée B.________ (art. 66 al. 1 et 68 al. 1-2 LTF).</w:t>
      </w:r>
    </w:p>
    <w:p>
      <w:r>
        <w:t>Les conclusions du recours étaient dirigées uniquement contre B.________ dont la condamnation au paiement est réclamée. C.________ SA et D.________ ne sont pas parties à la procédure fédérale mais seulement des tiers intéressés auxquels il n'est pas alloué de dépens ( ATF 135 II 384 consid. 5.2.2; arrêt 4A_570/2021 du 27 septembre 2022 consid. 5; BOVEY, Commentaire de la LTF, 3e éd. 2022, n. 24 ad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