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4A_47/2025 vom 27. Mai 2025</w:t>
      </w:r>
    </w:p>
    <w:p>
      <w:r>
        <w:t>Bundesgericht, 2025-05-27, DE</w:t>
      </w:r>
    </w:p>
    <w:p>
      <w:r>
        <w:rPr>
          <w:b/>
        </w:rPr>
        <w:t xml:space="preserve">Quelle: </w:t>
      </w:r>
      <w:r>
        <w:t>https://mcp.opencaselaw.ch/entscheid/bger_4A_47_2025</w:t>
      </w:r>
    </w:p>
    <w:p>
      <w:r>
        <w:t>FR: TF 4A_47/2025 du 27 mai 2025</w:t>
      </w:r>
    </w:p>
    <w:p>
      <w:r>
        <w:t>IT: TF 4A_47/2025 del 27 maggio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 richtet sich gegen den Endentscheid eines Handelsgerichts, das eine Zivilrechtsstreitigkeit ( Art. 72 Abs. 1 BGG ) als einzige kantonale Instanz ( Art. 75 Abs. 2 lit. b BGG ) entschieden hat. Ein Streitwert ist nicht erforderlich ( Art. 74 Abs. 2 lit. b BGG ). Die Beschwerdeführerin ist im vorinstanzlichen Verfahren mit ihren Anträgen unterlegen ( Art. 76 Abs. 1 BGG ). Sie hat zudem die Beschwerdefrist von Art. 100 Abs. 1 BGG eingehalten. Unter Vorbehalt einer hinreichenden Begründung ist demnach auf ihre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Vorbehalten bleiben offensichtliche Sachverhaltsmängel im Sinne von Art. 105 Abs. 2 BGG , die dem Bundesgericht geradezu in die Augen springen ( BGE 133 II 249 E. 1.4.3; 133 III 462 E. 2.4).</w:t>
      </w:r>
    </w:p>
    <w:p>
      <w:r>
        <w:rPr>
          <w:b/>
        </w:rPr>
        <w:t>E. 1.4</w:t>
      </w:r>
    </w:p>
    <w:p>
      <w:r>
        <w:t>Die vorinstanzliche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140 III 264 E. 2.3). Dass die von Sachgerichten gezogenen Schlüsse nicht mit der eigenen Darstellung der beschwerdeführenden Partei übereinstimmen, belegt keine Willkür ( BGE 148 V 366 E. 3.3; 144 II 281 E. 3.6.2).</w:t>
      </w:r>
    </w:p>
    <w:p>
      <w:r>
        <w:rPr>
          <w:b/>
        </w:rPr>
        <w:t>E. 2.1</w:t>
      </w:r>
    </w:p>
    <w:p>
      <w:r>
        <w:t>Die Beschwerdeführerin übernahm von der Beschwerdegegnerin ein Erde-Steingemisch, das nach der Reinigung der Zuckerrüben übriggeblieben ist. Die Beschwerdeführerin verwendete dieses Gemisch, um daraus zusammen mit weiteren Substanzen Beton herzustellen. Die Beschwerdeführerin macht geltend, im Gegensatz zur Probelieferung im Jahr 2019 sei das Erde-Steingemisch des Jahres 2020 mit Calciumoxid kontaminiert gewesen. Der aus diesem Erde-Steingemisch hergestellte Beton sei auf verschiedenen Baustellen verwendet worden. Dort habe das im Beton enthaltene Calciumoxid zu Betonabplatzungen geführt. Die Vorinstanz verwarf diese Auffassung. Sie erwog, die Beschwerdeführerin hätte beweisen müssen, dass in den Erde-Steingemischlieferungen von 2020 effektiv Calciumoxid enthalten gewesen sei. Diesen Beweis habe die Beschwerdeführerin indessen nicht erbracht.</w:t>
      </w:r>
    </w:p>
    <w:p>
      <w:r>
        <w:rPr>
          <w:b/>
        </w:rPr>
        <w:t>E. 2.2</w:t>
      </w:r>
    </w:p>
    <w:p>
      <w:r>
        <w:t>Die Beschwerdeführerin leitet ihre Entschädigungsansprüche aus einer behaupteten Verunreinigung des Erde-Steingemischs mit Calciumoxid her. Sie versteht das Calciumoxid mithin als Ursache für die Betonabplatzungen. Sie muss daher vorab den Beweis dafür erbringen, dass das Erde-Steingemisch tatsächlich Calciumoxid enthalten hat. Dieser Nachweis ist ihr gemäss dem angefochtenen Entscheid nicht gelungen. Die Beschwerde könnte folglich nur Aussicht auf Erfolg haben, wenn die Beschwerdeführerin das negative Beweisergebnis der Vorinstanz umzustossen vermöchte.</w:t>
      </w:r>
    </w:p>
    <w:p>
      <w:r>
        <w:rPr>
          <w:b/>
        </w:rPr>
        <w:t>E. 2.3</w:t>
      </w:r>
    </w:p>
    <w:p>
      <w:r>
        <w:t>Die Beschwerdeführerin wirft der Vorinstanz vor, ihre Beweismittel falsch gewürdigt zu haben. Zur Verunreinigung des Erde-Steingemischs sei es gekommen, weil die Beschwerdegegnerin im Jahr 2020 (Kalk-) Griess, das Calciumoxid enthalten habe, in das Schwemmwasser für die Zuckerrübenreinigung geschüttet habe. Folglich müsse das bei diesem Waschvorgang abgesonderte Erde-Steingemisch mit einer "grossen Wahrscheinlichkeit" ebenfalls Calciumoxid enthalten haben.</w:t>
      </w:r>
    </w:p>
    <w:p>
      <w:r>
        <w:rPr>
          <w:b/>
        </w:rPr>
        <w:t>E. 2.4</w:t>
      </w:r>
    </w:p>
    <w:p>
      <w:r>
        <w:t>Nach dem Regelbeweismass gilt ein Beweis erst dann als erbracht, wenn das Gericht nach objektiven Gesichtspunkten von der Richtigkeit einer Sachbehauptung überzeugt ist. Absolute Gewissheit kann nicht verlangt werden. Vielmehr genügt es, wenn das Gericht am Vorliegen der behaupteten Tatsache keine ernsthaften Zweifel mehr hat oder allenfalls verbleibende Zweifel als leicht erscheinen. Nur ausnahmsweise, wenn eine Beweisnot besteht und ein strikter Beweis nicht möglich oder zumindest unzumutbar ist, genügt bereits eine überwiegende Wahrscheinlichkeit ( BGE 148 III 105 E. 3.3.1; 144 III 264 E. 5.3; 130 III 321 E. 3.2).</w:t>
      </w:r>
    </w:p>
    <w:p>
      <w:r>
        <w:t>Die Vorinstanz legte ihrer Beweiswürdigung das Regelbeweismass zugrunde. Gestützt darauf erachtete sie das Vorhandensein von Calciumoxid im Erde-Steingemisch als nicht bewiesen. Die Beschwerdeführerin macht zu Recht nicht geltend, dass sie sich in einer Beweisnot befunden habe und die Vorinstanz deshalb das Regelbeweismass auf eine überwiegende Wahrscheinlichkeit hätte senken müssen. Damit bleibt es beim Regelbeweismass. Selbst wenn tatsächlich eine "grosse Wahrscheinlichkeit" für die Sachdarstellung der Beschwerdeführerin spräche, würde ihr dies nicht weiterhelfen: Damit vermag sie den erforderlichen strikten Beweis nicht zu erbringen.</w:t>
      </w:r>
    </w:p>
    <w:p>
      <w:r>
        <w:rPr>
          <w:b/>
        </w:rPr>
        <w:t>E. 2.5</w:t>
      </w:r>
    </w:p>
    <w:p>
      <w:r>
        <w:t>Abgesehen davon beschränkt sich die Beschwerdeführerin darauf, die Vorgänge in der Zuckerfabrik so darzustellen, wie sie sich aus ihrer eigenen Sicht zugetragen haben. Dazu verweist sie auf Beweismittel, wie insbesondere ihr Privatgutachten, sowie die vorinstanzlichen Rechtsschriften, aus denen sie andere tatsächliche Schlüsse zieht als die Vorinstanz. Das Bundesgericht darf die Sachverhaltsfeststellungen einer Vorinstanz nur dann berichtigen und ergänzen, wenn sie offensichtlich unrichtig sind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Die Beschwerdeführerin hält den vorinstanzlichen Erwägungen bloss ihre eigenen Behauptungen entgegen, zeigt aber nicht auf, weshalb die anderslautenden Würdigungen der Vorinstanz geradezu unhaltbar sein sollen. Entsprechend kann die Beschwerdeführerin aus ihren abweichenden Ausführungen zu den Vorgängen in der Zuckerfabrik nichts zu ihren Gunsten ableiten. Mangels hinreichend begründeten Sachverhalts- sowie Willkürrügen bleibt der vorinstanzlich festgestellte Sachverhalt massgebend.</w:t>
      </w:r>
    </w:p>
    <w:p>
      <w:r>
        <w:rPr>
          <w:b/>
        </w:rPr>
        <w:t>E. 2.6</w:t>
      </w:r>
    </w:p>
    <w:p>
      <w:r>
        <w:t>Es bleibt somit dabei, dass die Beschwerdeführerin nicht bewiesen hat, dass das Erde-Steingemisch tatsächlich mit Calciumoxid verunreinigt war. Folglich kann sie daraus keine Entschädigungsansprüche herleiten. Die Klage wurde zu Recht bereits aus diesem Grund abgewiesen. Damit erübrigt es sich, auf die weiteren vertraglichen oder ausservertraglichen Anspruchsvoraussetzungen einzugehen.</w:t>
      </w:r>
    </w:p>
    <w:p>
      <w:r>
        <w:rPr>
          <w:b/>
        </w:rPr>
        <w:t>E. 3</w:t>
      </w:r>
    </w:p>
    <w:p>
      <w:r>
        <w:t>Die Beschwerde ist demnach abzuweisen, soweit darauf einzutreten ist.</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