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4A_47/2019 vom 31. Januar 2020</w:t>
      </w:r>
    </w:p>
    <w:p>
      <w:r>
        <w:t>Bundesgericht, 2020-01-31, IT</w:t>
      </w:r>
    </w:p>
    <w:p>
      <w:r>
        <w:rPr>
          <w:b/>
        </w:rPr>
        <w:t xml:space="preserve">Quelle: </w:t>
      </w:r>
      <w:r>
        <w:t>https://mcp.opencaselaw.ch/entscheid/bger_4A_47_2019</w:t>
      </w:r>
    </w:p>
    <w:p>
      <w:r>
        <w:t>FR: TF 4A_47/2019 du 31 janvier 2020</w:t>
      </w:r>
    </w:p>
    <w:p>
      <w:r>
        <w:t>IT: TF 4A_47/2019 del 31 gennaio 2020</w:t>
      </w:r>
    </w:p>
    <w:p>
      <w:pPr>
        <w:pStyle w:val="Heading2"/>
      </w:pPr>
      <w:r>
        <w:t>Erwägungen</w:t>
      </w:r>
    </w:p>
    <w:p>
      <w:r>
        <w:rPr>
          <w:b/>
        </w:rPr>
        <w:t>E. 1</w:t>
      </w:r>
    </w:p>
    <w:p>
      <w:r>
        <w:t>Il ricorso in materia civile è presentato dalla parte soccombente nella procedura cantonale ( art. 76 cpv. 1 lett. a LTF ), è tempestivo (art. 46 cpv. 1 lett. c combinato con l' art. 100 cpv. 1 LTF ) ed è volto contro una sentenza finale ( art. 90 LTF ) emanata su ricorso dall'autorità ticinese di ultima istanza ( art. 75 LTF ) in una causa civile ( art. 72 cpv. 1 LTF ) concernente una controversia in materia di diritto del lavoro con un valore litigioso che supera la soglia fissata dall' art. 74 cpv. 1 lett. a LTF .</w:t>
      </w:r>
    </w:p>
    <w:p>
      <w:r>
        <w:rPr>
          <w:b/>
        </w:rPr>
        <w:t>E. 2.1</w:t>
      </w:r>
    </w:p>
    <w:p>
      <w:r>
        <w:t>Il Tribunale federale applica d'ufficio il diritto federale ( art. 106 cpv. 1 LTF ). Tuttavia, tenuto conto dell'onere di allegazione e motivazione imposto dall' art. 42 cpv. 1 e 2 LTF , di regola esso considera solo gli argomenti proposti nell'atto di ricorso ( DTF 140 III 86 consid. 2; 134 III 102 consid. 1.1). Giusta l' art. 42 cpv. 2 LTF nei motivi di un ricorso occorre spiegare in modo conciso perché l'atto impugnato viola il diritto. Per soddisfare l'obbligo di motivazione, il ricorrente deve discutere le considerazioni della decisione impugnata e indicare con precisione in che consiste la violazione del diritto ( DTF 140 III 86 consid. 2). In virtù dell' art. 106 cpv. 2 LTF il Tribunale federale esamina la violazione di diritti costituzionali soltanto se tale censura è stata sollevata e motivata. Ciò significa che la parte ricorrente deve indicare in modo chiaro e dettagliato, con riferimento ai motivi della decisione impugnata, in che modo sarebbero stati violati i suoi diritti costituzionali ( DTF 135 III 232 consid. 1.2; 133 III 393 consid. 6).</w:t>
      </w:r>
    </w:p>
    <w:p>
      <w:r>
        <w:t>Il Tribunale federale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w:t>
      </w:r>
    </w:p>
    <w:p>
      <w:r>
        <w:t>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w:t>
      </w:r>
    </w:p>
    <w:p>
      <w:r>
        <w:rPr>
          <w:b/>
        </w:rPr>
        <w:t>E. 2.2</w:t>
      </w:r>
    </w:p>
    <w:p>
      <w:r>
        <w:t>All'inizio del gravame il ricorrente lamenta che la Corte cantonale è incorsa in errori sia per quanto attiene alla sede e alla natura giuridica della sua ex datrice di lavoro sia con riferimento ai suoi superiori gerarchici. Sennonché gli errori denunciati sono del tutto inidonei a influire sul presente giudizio. La summenzionata - seconda - condizione dell' art. 97 cpv. 1 LTF non è quindi data, ragione per cui la predetta argomentazione ricorsuale si rivela inammissibile.</w:t>
      </w:r>
    </w:p>
    <w:p>
      <w:r>
        <w:t>Inoltre, sebbene postuli ancora il pagamento di fr. 157'071.70, l'unico credito di cui il ricorrente si occupa nell'impugnativa in esame concerne il mancato pagamento del lavoro straordinario. Innanzi alle precedenti autorità giudiziarie il ricorrente aveva quantificato la propria pretesa per lavoro suppletivo non retribuito in soli fr. 72'000.--, il resto della somma domandata essendo stato riferito ad altre richieste, segnatamente basate su quello che egli ritiene essere stato un licenziamento abusivo. Visto che il ricorrente ha esattamente ripreso al centesimo l'importo domandato con la petizione occorre partire dal presupposto che egli abbia pure inteso impugnare il mancato riconoscimento delle pretese eccedenti il lavoro straordinario. Sennonché egli omette di formulare una qualsiasi censura diretta contro il rifiuto di accogliere tali richieste, ragione per cui il ricorso, nella misura in cui non concerne la retribuzione di ore supplementari, si palesa di primo acchito inammissibile perché privo di motivazione. Poiché l'impugnativa è limitata alla questione della retribuzione delle ore supplementari, che verrà trattata nel prossimo considerando, le argomentazioni con cui il ricorrente lamenta che in realtà la disdetta sarebbe stata emessa dall'opponente o che non vi fosse una volontà di porre fine al contratto di lavoro appaiono irrilevanti.</w:t>
      </w:r>
    </w:p>
    <w:p>
      <w:r>
        <w:rPr>
          <w:b/>
        </w:rPr>
        <w:t>E. 3.1</w:t>
      </w:r>
    </w:p>
    <w:p>
      <w:r>
        <w:t>La Corte cantonale ha indicato che la relazione fra le parti era retta dal contratto di lavoro e dal regolamento sul personale a cui il primo faceva esplicito riferimento. L'art. 28 di tale regolamento conteneva una rinuncia alla retribuzione o compensazione mediante tempo libero delle ore supplementari non espressamente ordinate o successivamente approvate dalla datrice di lavoro. L'autorità inferiore ha poi ricordato che con la lettera del 20 aprile 2007 il dipendente aveva pure dichiarato di non chiedere il pagamento delle ore supplementari se avesse ottenuto l'esonero dal lavoro - come verificatosi nella fattispecie - fino alla fine del termine di disdetta. Ha quindi ritenuto che per fondare la sua pretesa il lavoratore avrebbe dovuto " dimostrare anzi tutto l'inapplicabilità della rinuncia preventiva, e meglio una modifica concludente del contratto di lavoro a causa dell'assenza di contestazioni del datore di lavoro, rispettivamente il compimento di ore la cui retribuzione era obbligatoria ai sensi della Legge sul lavoro " e poi " non solo quantificare e dimostrare tali ore e la loro giustificazione, ma anche che queste fossero manifestamente eccedenti la compensazione " contenuta nello scritto del 20 aprile 2007. La Corte cantonale ha considerato che il lavoratore non ha apportato tale dimostrazione, rimproverandogli pure di non aver nemmeno soddisfatto il suo onere di allegazione e specificazione.</w:t>
      </w:r>
    </w:p>
    <w:p>
      <w:r>
        <w:rPr>
          <w:b/>
        </w:rPr>
        <w:t>E. 3.2</w:t>
      </w:r>
    </w:p>
    <w:p>
      <w:r>
        <w:t>In concreto il ricorrente non si confronta con le predette considerazioni, ma si limita invece ad affermare in modo appellatorio che dall'istruttoria sarebbe emerso che egli ha svolto lavoro straordinario di cui la datrice di lavoro era a conoscenza. Egli neppure formula un'ammissibile censura contro l'accertamento (sulle esigenze di motivazione di una tale censura v. sopra consid. 2.1) secondo cui la banca ne aveva contestato la necessità. Quando abbozza poi una critica riferita alla compensazione espressa nello scritto del 20 aprile 2007, egli basa inammissibilmente la sua argomentazione su un fatto che non risulta dalla fattispecie riportata nella sentenza impugnata, e cioè che egli, essendo stato un dipendente con delle cariche delicate, sarebbe in ogni caso stato esonerato dall'obbligo di effettuare la prestazione lavorativa durante il periodo di disdetta a prescindere dalle ore straordinarie effettuate.</w:t>
      </w:r>
    </w:p>
    <w:p>
      <w:r>
        <w:rPr>
          <w:b/>
        </w:rPr>
        <w:t>E. 4</w:t>
      </w:r>
    </w:p>
    <w:p>
      <w:r>
        <w:t>Da quanto precede discende che il ricorso si rivela inammissibile. La domanda di assistenzagiudiziaria con cui è pure chiesto il gratuito patrocinio per la procedura innanzi al Tribunale federale dev'essere respinta, indipendentemente dall'eventuale indigenza del ricorrente, perché il ricorso si rivelava fin dall'inizio privo di possibilità di esito favorevole ( art. 64 cpv. 1 e 2 LTF ). Le spese giudiziarie seguono pertanto la soccombenza ( art. 66 cpv. 1 LTF ), mentre non si giustifica assegnare ripetibili all'opponente che, non essendo stata invitata a determinarsi, non è incorsa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