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4A_477/2013 vom 28. Januar 2014</w:t>
      </w:r>
    </w:p>
    <w:p>
      <w:r>
        <w:t>Bundesgericht, 2014-01-28, FR</w:t>
      </w:r>
    </w:p>
    <w:p>
      <w:r>
        <w:rPr>
          <w:b/>
        </w:rPr>
        <w:t xml:space="preserve">Quelle: </w:t>
      </w:r>
      <w:r>
        <w:t>https://mcp.opencaselaw.ch/entscheid/bger_4A_477_2013</w:t>
      </w:r>
    </w:p>
    <w:p>
      <w:r>
        <w:t>FR: TF 4A_477/2013 du 28 janvier 2014</w:t>
      </w:r>
    </w:p>
    <w:p>
      <w:r>
        <w:t>IT: TF 4A_477/2013 del 28 gennaio 2014</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 tribunal supérieur statuant sur recours en dernière instance cantonale ( art. 75 LTF ) dans une affaire pécuniaire en matière de droit du travail dont la valeur litigieuse atteint le seuil de 15'000 fr. ( art. 74 al. 1 let. a LTF ), le recours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rPr>
          <w:b/>
        </w:rPr>
        <w:t>E. 1.3</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w:t>
      </w:r>
    </w:p>
    <w:p>
      <w:r>
        <w:t>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w:t>
      </w:r>
    </w:p>
    <w:p>
      <w:r>
        <w:rPr>
          <w:b/>
        </w:rPr>
        <w:t>E. 2.1</w:t>
      </w:r>
    </w:p>
    <w:p>
      <w:r>
        <w:t>La recourante invoque une constatation inexacte des faits, soit un établissement arbitraire ( art. 9 Cst. ).</w:t>
      </w:r>
    </w:p>
    <w:p>
      <w:r>
        <w:t>Dans ses diverses observations, la recourante ne conteste pas le point de fait pertinent en l'espèce, soit la constatation selon laquelle l'art. 5.1.2 des conditions générales dispose expressément que " le salaire de base minimum est fixé par la Convention d'Etat (CCT21) ". Les arguments qu'elle présente, dans une autre perspective, en lien avec l'arrêt 2C_728/2011 et le point 2.1 des conditions générales ne sont pas propres à influer sur le sort de la cause (cf. supra consid. 1.4).</w:t>
      </w:r>
    </w:p>
    <w:p>
      <w:r>
        <w:t>La seule critique soulevée, sous le couvert de l'établissement arbitraire des faits, en rapport avec l'art. 5.1.2 des conditions générales vise en réalité l'interprétation qu'en a effectuée la cour cantonale (cf. infra consid. 2.3).</w:t>
      </w:r>
    </w:p>
    <w:p>
      <w:r>
        <w:t>Enfin, affirmer qu'une constatation cantonale ne " se fonde sur aucun élément au dossier " ou qu'une cause parallèle (mentionnée par la cour précédente) " n'est pas identique à celle qui occupe la présente procédure " n'équivaut pas à une démonstration respectant les exigences tirées des art. 105 al. 2 et 106 al. 2 LTF.</w:t>
      </w:r>
    </w:p>
    <w:p>
      <w:r>
        <w:rPr>
          <w:b/>
        </w:rPr>
        <w:t>E. 2.2</w:t>
      </w:r>
    </w:p>
    <w:p>
      <w:r>
        <w:t>Revenant sur l'interprétation du contrat, la recourante laisse entendre que c'est en violant le droit fédéral que la cour cantonale est arrivée à la conclusion que la volonté réelle des parties ne pouvait pas être établie.</w:t>
      </w:r>
    </w:p>
    <w:p>
      <w:r>
        <w:t>Déterminer la commune et réelle intention des parties (interprétation subjective) est une question de fait ( ATF 135 III 410 consid. 3.2 p. 412 s.). La recourante ne prétend toutefois pas que c'est en écartant certains faits de manière arbitraire ( art. 9 Cst. ) que l'autorité précédente n'a pas pu établir la volonté réelle des parties. La critique soulevée dans ce contexte est donc irrecevable (cf. supra consid. 1.4).</w:t>
      </w:r>
    </w:p>
    <w:p>
      <w:r>
        <w:rPr>
          <w:b/>
        </w:rPr>
        <w:t>E. 2.3</w:t>
      </w:r>
    </w:p>
    <w:p>
      <w:r>
        <w:t>Revenant à la charge sous l'angle de l'application du principe de la confiance (interprétation objective), la recourante reproche à la cour cantonale d'avoir ignoré le comportement de l'intimée depuis le moment de la conclusion du contrat jusqu'à celui de la résiliation des rapports de travail.</w:t>
      </w:r>
    </w:p>
    <w:p>
      <w:r>
        <w:t>S'il est possible de prendre en compte les circonstances postérieures à la conclusion du contrat d'assurance pour établir la volonté subjective des parties ( ATF 118 II 365 consid. 1 p. 366 et les références), les circonstances déterminantes, sur la base desquelles le juge doit rechercher la volonté objective des parties, sont celles qui ont précédé ou accompagné la manifestation de volonté ( ATF 131 III 377 consid. 4.2. p. 382 et l'arrêt cité), à l'exclusion des événements postérieurs (arrêt 4C.321/2005 du 27 février 2006 consid. 3.1). La critique présentée par la recourante est dès lors sans consistance.</w:t>
      </w:r>
    </w:p>
    <w:p>
      <w:r>
        <w:t>S'agissant de l'argument fondé sur une acceptation tacite de l'employée (cf. art. 6 CO ), il est dénué de toute pertinence. L'acceptation à laquelle il est fait référence dans cette disposition présuppose l'existence d'une offre reconnaissable émanant de l'autre partie, soit en l'espèce de l'employeuse (arrêt 4A_443/2010 du 26 novembre 2010 consid. 10.1.4 et les références). Tel n'est pas le cas en l'espèce. Dans le contrat daté de décembre 2006, les parties sont convenues de se référer, dès le 1er janvier 2007, aux grilles salariales de la CCT21. L'employeuse s'est écartée du salaire minimal prévu par la convention et a continué à appliquer le tarif initial (versé en 2006) sans donner la moindre information à l'employée.</w:t>
      </w:r>
    </w:p>
    <w:p>
      <w:r>
        <w:t>Le simple fait que l'employée ait reçu pendant presque quatre ans un salaire inférieur à celui convenu entre les parties n'implique en soi, contrairement à ce que pense la recourante, aucune acceptation tacite du tarif réduit. En effet, il n'est pas rare qu'un employé, durant le rapport de travail, répugne à faire valoir l'intégralité de ses prétentions par crainte de perdre son poste. Il a été jugé que le simple écoulement du temps pendant le délai de prescription ne peut être interprété ni comme une renonciation à la prétention, ni comme son exercice abusif ( ATF 110 II 273 consid. 2 p. 274 s.). Qu'un travailleur ne fasse pas valoir sa prétention durant le rapport de travail ne permet pas de déduire, pour les mêmes raisons, que cette prétention n'existe pas (arrêt 4A_452/2012 du 3 décembre 2012 consid. 2.3).</w:t>
      </w:r>
    </w:p>
    <w:p>
      <w:r>
        <w:t>Quant à la critique émise par la recourante en rapport avec l'art. 5.1.2 des conditions générales qui, selon elle, ne concerne que le personnel soignant rémunéré mensuellement (l'employée n'étant donc pas concernée par cette disposition), elle ne convainc pas. Comme l'a démontré la cour cantonale (cf. arrêt entrepris consid. 6 p. 8 s.), il résulte de la construction de l'art. 5.1 des conditions générales que l'art. 5.1.2 vise " tout employé de la société quelle que soit sa fonction dans l'entreprise ", le personnel rémunéré mensuellement n'étant visé spécialement qu'à partir de l'art. 5.1.4. Pour défendre sa thèse, la recourante fournit une interprétation qui ne trouve appui qu'en partie sur les constatations cantonales relatives à la formulation et au contenu de l'art. 5.1.2, ce qui n'est pas admissible (cf. ATF 135 III 410 consid. 3.2 p. 413).</w:t>
      </w:r>
    </w:p>
    <w:p>
      <w:r>
        <w:t>Cela étant, l'interprétation du contrat entreprise par la cour cantonale ne prête pas le flanc à la critique. Il n'importe ici de connaître la volonté intime de l'employeuse, le principe de la confiance permettant précisément d'imputer à celle-ci le sens objectif de sa déclaration (cf. ATF 135 III 410 consid. 3.2 p. 413). Il est en l'espèce établi que les conditions générales contiennent un renvoi à la CCT21 et que l'employeuse n'a pas apporté de modification à ses conditions générales au 1er janvier 2007. Même à admettre qu'un doute subsisterait quant au résultat de l'interprétation objective du contrat, la conclusion ne serait pas différente, l'interprétation des conditions générales devant alors se faire en défaveur de leur rédactrice ( ATF 124 III 155 consid. 1b p. 158).</w:t>
      </w:r>
    </w:p>
    <w:p>
      <w:r>
        <w:t>Le moyen tiré de la transgression des art. 6 et 18 CO est infondé.</w:t>
      </w:r>
    </w:p>
    <w:p>
      <w:r>
        <w:rPr>
          <w:b/>
        </w:rPr>
        <w:t>E. 2.4</w:t>
      </w:r>
    </w:p>
    <w:p>
      <w:r>
        <w:t>La recourante estime que c'est en violant le droit fédéral que la cour cantonale a considéré qu'il convenait d'ajouter au salaire convenu entre les parties un supplément destiné à compenser les désavantages entraînés par le travail de nuit (cf. art. 17b al. 2 Ltr ).</w:t>
      </w:r>
    </w:p>
    <w:p>
      <w:r>
        <w:t>Dans son raisonnement juridique, la recourante se fonde sur divers points de fait qu'elle ajoute à l'état de fait dressé par la cour cantonale. Elle n'indique toutefois pas en quoi celui-ci serait arbitraire et il n'y a pas lieu de s'écarter des constatations contenues dans l'arrêt entrepris (cf. supra consid. 1.4).</w:t>
      </w:r>
    </w:p>
    <w:p>
      <w:r>
        <w:t>Selon les constatations cantonales, le salaire minimum fixé par la CCT21 ne tient pas compte des désavantages liés à une activité régulière de nuit. En effet, le salaire minimum prévu par la grille salariale de cette convention s'applique au travail " habituel ", c'est-à-dire à l'activité de jour (arrêt entrepris consid. 4 p. 7 s.).</w:t>
      </w:r>
    </w:p>
    <w:p>
      <w:r>
        <w:t>Cela étant, on ne saurait considérer que le salaire convenu entre les parties, dès le 1er janvier 2007, est présumé déjà tenir compte des désavantages entraînés par le travail de nuit (cf.</w:t>
      </w:r>
    </w:p>
    <w:p>
      <w:r>
        <w:t>a contrario arrêt 4A_268/2012 du 11 septembre 2012 consid. 8.1 publié in JdT 2013 II 2000).</w:t>
      </w:r>
    </w:p>
    <w:p>
      <w:r>
        <w:t>C'est donc à bon droit que la cour cantonale, partant du tarif fixé dans la CCT21, a accordé à l'intimée, de janvier 2007 à août 2010, une somme supplémentaire pour le travail de nuit. L'autorité précédente a déduit de ce montant, pour la même période, l'indemnité de 10 fr. initialement prévue par les parties (cf. let. A), de sorte que son raisonnement est exempt de toute contradiction.</w:t>
      </w:r>
    </w:p>
    <w:p>
      <w:r>
        <w:t>Le grief doit être déclaré mal fondé.</w:t>
      </w:r>
    </w:p>
    <w:p>
      <w:r>
        <w:rPr>
          <w:b/>
        </w:rPr>
        <w:t>E. 2.5</w:t>
      </w:r>
    </w:p>
    <w:p>
      <w:r>
        <w:t>S'agissant enfin du calcul du montant revenant à l'employée, la recourante reproche à l'autorité cantonale d'avoir établi les faits de façon inexacte.</w:t>
      </w:r>
    </w:p>
    <w:p>
      <w:r>
        <w:t>Elle présente ses propres calculs en laissant entendre que les magistrats précédents ont commis de nombreuses erreurs. Elle ne fournit toutefois aucune motivation circonstanciée permettant de comprendre en quoi l'autorité cantonale aurait sombré dans l'arbitraire (sur l'exigence cf. supra consid. 1.3 et 1.4). Il n'y a donc pas lieu d'entrer en matière sur cette critique.</w:t>
      </w:r>
    </w:p>
    <w:p>
      <w:r>
        <w:rPr>
          <w:b/>
        </w:rPr>
        <w:t>E. 3</w:t>
      </w:r>
    </w:p>
    <w:p>
      <w:r>
        <w:t>Il résulte des considérants qui précèdent que le recours doit être rejeté dans la mesure où il est recevable.</w:t>
      </w:r>
    </w:p>
    <w:p>
      <w:r>
        <w:t>Les frais judiciaires et les dépens sont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