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476/2012 vom 24. Mai 2013</w:t>
      </w:r>
    </w:p>
    <w:p>
      <w:r>
        <w:t>Bundesgericht, 2013-05-24, DE</w:t>
      </w:r>
    </w:p>
    <w:p>
      <w:r>
        <w:rPr>
          <w:b/>
        </w:rPr>
        <w:t xml:space="preserve">Quelle: </w:t>
      </w:r>
      <w:r>
        <w:t>https://mcp.opencaselaw.ch/entscheid/bger_4A_476_2012</w:t>
      </w:r>
    </w:p>
    <w:p>
      <w:r>
        <w:t>FR: TF 4A 476/2012 du 24 mai 2013</w:t>
      </w:r>
    </w:p>
    <w:p>
      <w:r>
        <w:t>IT: TF 4A 476/2012 del 24 maggio 2013</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relevanten Zeitpunkt ihren Sitz bzw. Wohnsitz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allerdings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2.5</w:t>
      </w:r>
    </w:p>
    <w:p>
      <w:r>
        <w:t>Die Beschwerdeführerin stützt sich verschiedentlich auf tatsächliche Behauptungen, die sich nicht auf die Sachverhaltsfeststellungen im angefochtenen Entscheid stützen lassen. Dabei erhebt sie keine hinreichende Sachverhaltsrüge, sondern bringt vielmehr vor, ihre neuen Tatsachenbehauptungen seien als zulässige Noven zu betrachten. Ihrer Ansicht, erst der angefochtene Entscheid habe zu den neuen tatsächlichen Vorbringen Anlass gegeben, kann nicht gefolgt werden. Die Beschwerdeführerin bringt vor Bundesgericht selber vor, sie habe sich gegenüber dem TAS bereits mit Eingabe vom 18. Oktober 2011 zum Vorschlag zur Einsetzung eines Einzelschiedsrichters geäussert. Zudem ergibt sich aus dem angefochtenen Entscheid, dass die Parteien am 10. Februar 2012 über die Ernennung von Frau Rechtsanwältin Margarita Echeverria Bermudez als Einzelschiedsrichterin informiert wurden. Inwiefern erst der angefochtene Entscheid zu neuen Sachvorbringen Anlass geben würde (vgl. Art. 99 Abs. 1 BGG ), ist daher nicht ersichtlich (vgl. demgegenüber etwa das Urteil 4A_425/2012 vom 26. Februar 2013 E. 3.1.2 mit Hinweisen, zur Publikation vorgesehen). Soweit sie sich nicht auf die Sachverhaltsfeststellungen im angefochtenen Entscheid stützen lassen, haben ihre tatsächlichen Vorbringen insoweit unbeachtet zu bleiben.</w:t>
      </w:r>
    </w:p>
    <w:p>
      <w:r>
        <w:rPr>
          <w:b/>
        </w:rPr>
        <w:t>E. 3</w:t>
      </w:r>
    </w:p>
    <w:p>
      <w:r>
        <w:t>Die Beschwerdeführerin bringt vor, die Einzelschiedsrichterin sei vorschriftswidrig ernannt worden ( Art. 190 Abs. 2 lit. a IPRG ) bzw. diese sei unzuständig ( Art. 190 Abs. 2 lit. b IPRG ).</w:t>
      </w:r>
    </w:p>
    <w:p>
      <w:r>
        <w:rPr>
          <w:b/>
        </w:rPr>
        <w:t>E. 3.1</w:t>
      </w:r>
    </w:p>
    <w:p>
      <w:r>
        <w:t>Die Partei, die einen Schiedsrichter ablehnen will (vgl. Art. 180 Abs. 2 Satz 2 IPRG ), das Schiedsgericht für unzuständig (vgl. Art. 186 Abs. 2 IPRG ) oder sich durch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 Beteiligt sich eine Partei an einem Schiedsverfahren, ohne die Besetzung bzw. die Zuständigkeit des Schiedsgerichts in Frage zu stellen, obschon sie die Möglichkeit zur Klärung dieser Frage vor der Fällung des Schiedsentscheids hat, ist sie mit der entsprechenden Rüge im bundesgerichtlichen Beschwerdeverfahren wegen Verwirkung ausgeschlossen ( BGE 130 III 66 E. 4.3 mit Hinweisen).</w:t>
      </w:r>
    </w:p>
    <w:p>
      <w:r>
        <w:rPr>
          <w:b/>
        </w:rPr>
        <w:t>E. 3.2</w:t>
      </w:r>
    </w:p>
    <w:p>
      <w:r>
        <w:t>Die Beschwerdeführerin hatte die Zuständigkeit der eingesetzten Einzelschiedsrichterin im Schiedsverfahren nicht bestritten. Zwar vertrat sie vor der Konstituierung des Schiedsgerichts den Standpunkt, es sei ein Dreierschiedsgericht einzusetzen. Nachdem der Präsident der Berufungskammer des TAS jedoch Frau Margarita Echeverria Bermudez als Einzelschiedsrichterin eingesetzt hatte, stellte die Beschwerdeführerin deren Zuständigkeit, über welche die Einzelschiedsrichterin nach R55 Abs. 4 TAS-Code (Ausgabe 2010) selbst zu entscheiden hatte, nicht in Frage, sondern liess sich auf das Verfahren ein (vgl. demgegenüber etwa das Urteil 4P.40/2002 vom 16. April 2002, wo das Bundesgericht die Frage der zutreffenden Anzahl der Schiedsrichter prüfte, nachdem der Beschwerdeführer auch nach der Konstituierung Einwände gegen die Zuständigkeit des Schiedsgerichts erhoben hatte). Wie der angefochtene Entscheid festhält, erhob vor dem Schiedsgericht keine der Parteien Einwände hinsichtlich der Zuständigkeit; zudem bringt auch die Beschwerdeführerin nicht vor, nach der Konstituierung gegenüber der Einzelschiedsrichterin Vorbehalte bezüglich deren Ernennung vorgebracht zu haben. Die Schiedsrichterin hörte die Parteien nach ihrer Einsetzung dazu an, ob eine mündliche Verhandlung durchzuführen sei. Die Beschwerdeführerin erhob keine Einwände hinsichtlich der Ernennung oder der Zuständigkeit; vielmehr verlangte sie ohne entsprechende Vorbehalte die Durchführung einer mündlichen Verhandlung vor der Einzelschiedsrichterin. Der Beschwerdeführerin musste bewusst sein, dass die Einzelschiedsrichterin - im Gegensatz etwa zur Ablehnung (R34 TAS-Code) - nach R55 Abs. 4 TAS-Code selbst über ihre Zuständigkeit entscheidet. Sollte sie - wie nunmehr vor Bundesgericht vorgebracht - der Ansicht gewesen sein, es fehle an der Zuständigkeit, weil eine Schiedsvereinbarung zugunsten eines Dreierschiedsgerichts abgeschlossen worden sei, hätte sie der Einzelschiedsrichterin nach deren Ernennung ihre Einwände nach Treu und Glauben mitteilen müssen, damit diese gegebenenfalls einen Entscheid diesbezüglich fällen konnte (vgl. etwa den Sachverhalt im Urteil 4P.40/2002 vom 16. April 2002; vgl. auch BGE 138 III 29 S. 31), und hätte sich nicht vorbehaltlos auf das Verfahren einlassen dürfen. Entsprechende Einwände hat die Beschwerdeführerin gegenüber der ernannten Einzelschiedsrichterin nicht erhoben; ebenso wenig hat sie etwa Vorbehalte hinsichtlich deren Unabhängigkeit bzw. Unparteilichkeit geltend gemacht, über die nach R34 TAS-Code der Vorstand des International Council of Arbitration for Sport (ICAS) zu entscheiden gehabt hätte. Es ging unter diesen Umständen nicht an, die Rügegründe gleichsam in Reserve zu halten und abzuwarten, ob das Urteil zu ihren Gunsten ausfallen würde. Die Beschwerdeführerin verwirkte das Recht, sich im bundesgerichtlichen Beschwerdeverfahren auf die geltend gemachten Mängel zu berufen.</w:t>
      </w:r>
    </w:p>
    <w:p>
      <w:r>
        <w:rPr>
          <w:b/>
        </w:rPr>
        <w:t>E. 3.3</w:t>
      </w:r>
    </w:p>
    <w:p>
      <w:r>
        <w:t>Abgesehen davon, dass sich die Beschwerdeführerin zur Begründung ihrer Rüge der vorschriftswidrigen Ernennung der Einzelschiedsrichterin ( Art. 190 Abs. 2 lit. a IPRG ) in unzulässiger Weise auf Tatsachenbehauptungen stützt, die sich den verbindlichen Sachverhaltsfeststellungen im angefochtenen Entscheid ( Art. 105 Abs. 1 BGG ) nicht entnehmen lassen, wäre ihre nunmehr vor Bundesgericht erhobene Behauptung, die Parteien hätten sich auf ein Dreierschiedsgericht geeinigt, ohnehin als neu zu beurteilen und damit unbeachtlich ( Art. 99 Abs. 1 BGG ). Selbst aus ihrer eigenen Darstellung ihrer Vorbringen vor der Ernennung der Einzelschiedsrichterin ergibt sich nicht, dass sie eine solche Einigung behauptet hätte. Das mit dem angeblichen Abschluss einer Schiedsvereinbarung zugunsten eines Dreierschiedsgerichts begründete Vorbringen, die Ernennung der Einzelschiedsrichterin sei in Verletzung von R50 TAS-Code und damit vorschriftswidrig erfolgt, würde damit auch aus diesem Grund ins Leere stossen.</w:t>
      </w:r>
    </w:p>
    <w:p>
      <w:r>
        <w:rPr>
          <w:b/>
        </w:rPr>
        <w:t>E. 4</w:t>
      </w:r>
    </w:p>
    <w:p>
      <w:r>
        <w:t>Die Beschwerdeführerin rügt weiter eine Verletzung ihres Anspruchs auf rechtliches Gehör ( Art. 190 Abs. 2 lit. d IPRG ).</w:t>
      </w:r>
    </w:p>
    <w:p>
      <w:r>
        <w:rPr>
          <w:b/>
        </w:rPr>
        <w:t>E. 4.1</w:t>
      </w:r>
    </w:p>
    <w:p>
      <w:r>
        <w:t>Sie trägt vor, sie habe sich angesichts der Vorbringen des Beschwerdegegners vor dem TAS darauf konzentriert aufzuzeigen, weshalb Art. 25 des Transferreglements der FIFA, Art. 16 der Verfahrensordnung des Statuskomitees und der Schlichtungskammer der FIFA und Art. 10 Abs. 4 der FIFA-Statuten einer Anwendung von Art. 516 des mexikanischen Arbeitsrechts nicht entgegenstünden. Die Einzelschiedsrichterin habe dann zwar richtig entschieden, dass trotz der vom Beschwerdegegner angerufenen FIFA-Regeln Art. 516 des mexikanischen Arbeitsrechts anwendbar sei. Ihre Erwägung, der Beschwerdegegner habe mit der Anrufung der Schlichtungskammer der FIFA am 11. März 2010 die in Art. 516 vorgesehene Verjährungsfrist unterbrochen, womit an diesem Tag die einjährige Verjährungsfrist von neuem zu laufen begonnen und der Beschwerdegegner mit der Einleitung der Klage vor dem CRCC am 17. Februar 2011 die entsprechende Frist gewahrt habe, stütze sich jedoch auf juristische Argumente (Unterbrechung der einschlägigen Verjährungsfrist durch Anrufung der FIFA-Schlichtungskammer, Fristwahrung durch Klageanhebung gegen Y.________ SA de C.V. vor der CRCC), die im vorangehenden Verfahren weder erwähnt noch von einer der beteiligten Parteien geltend gemacht worden seien; zudem sei die Annahme einer Verjährungsunterbrechung durch Anrufung eines unzuständigen FIFA-Organs "krass falsch", weshalb die Beschwerdeführerin damit nicht habe rechnen müssen.</w:t>
      </w:r>
    </w:p>
    <w:p>
      <w:r>
        <w:rPr>
          <w:b/>
        </w:rPr>
        <w:t>E. 4.2.1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den Besonderheiten des Verfahrens - namentlich dem übereinstimmenden Willen der Parteien, ihren Streit nicht vor staatlichen Gerichten auszutragen sowie der Tatsache, dass die Schiedsrichter unterschiedlichen Rechtstraditionen entstammen können - Rechnung getragen sowie verhindert werden, dass das Argument der überraschenden Rechtsanwendung dazu missbraucht wird, eine materielle Überprüfung des Schiedsurteils durch das Bundesgericht zu erwirken ( BGE 130 III 35 E. 5 S. 39 f.). Die Beschwerdeführerin zeigt mit ihren Vorbringen nicht auf, inwiefern es ihr im Schiedsverfahren verunmöglicht worden sein soll, ihren Standpunkt hinsichtlich der anwendbaren mexikanischen Regelung der Verjährung darzulegen. Nachdem die CRCC die vom Beschwerdegegner geltend gemachten Ansprüche mit Entscheid vom 26. Juli 2011 als verjährt erachtet hatte, musste der Beschwerdeführerin bewusst sein, dass nach Anfechtung dieses Entscheids im Schiedsverfahren die Frage der Verjährung im Vordergrund stehen würde. Dabei konnte sie sich nicht darauf verlassen, dass sich das Schiedsgericht bei der Beurteilung der Verjährung der Klageansprüche auf die Prüfung der rechtlichen Vorbringen des Beschwerdegegners beschränken würde, sondern musste vielmehr davon ausgehen, dass das Schiedsgericht die Frage in rechtlicher Hinsicht von sich aus umfassend prüft. Dazu gehört auch die Einhaltung bzw. eine allfällige Unterbrechung der Verjährungsfrist durch Einleitung rechtlicher Verfahren. Die Beschwerdeführerin bestätigt in ihrer Beschwerdeeingabe selbst, dass das anwendbare mexikanische Arbeitsrecht in Art. 521 eine Unterbrechung der Verjährung unter anderem durch Klageeinleitung vorsieht. Wenn sie vor Bundesgericht nunmehr unter Berufung auf ein Rechtsgutachten vorbringt, die Annahme im angefochtenen Schiedsentscheid, die Anrufung der Schlichtungskammer der FIFA hätte die Verjährungsfrist unterbrechen können, sei "krass falsch", zeigt sie keinen in Art. 190 Abs. 2 IPRG vorgesehenen Beschwerdegrund auf, sondern kritisiert in unzulässiger Weise die schiedsgerichtliche Anwendung der massgebenden Bestimmungen. Eine überraschende Rechtsanwendung, zu der die Beschwerdeführerin eigens hätte angehört werden müssen, liegt nicht vor.</w:t>
      </w:r>
    </w:p>
    <w:p>
      <w:r>
        <w:rPr>
          <w:b/>
        </w:rPr>
        <w:t>E. 4.2.2</w:t>
      </w:r>
    </w:p>
    <w:p>
      <w:r>
        <w:t>Ebenso wenig ist eine Gehörsverletzung darin zu erblicken, dass die Beschwerdeführerin zur Frage, ob die Frist durch Klageanhebung bei der CRCC gegen Y.________ SA de C.V. - die zwischenzeitlich einen Vermögensübertragsvertrag mit der Beschwerdeführerin unterzeichnet hatte - gewahrt wurde, nicht eigens angehört wurde. Es war für alle Parteien ohne Weiteres erkennbar, dass im Verfahren vor der CRCC noch eine andere Gesellschaft eingeklagt war und die Beschwerdeführerin erst wieder vor dem TAS als Berufungsbeklagte auftrat. Obwohl es auf der Hand lag, diesen Umstand - auch im Zusammenhang mit der Verjährung - zu thematisieren, verzichtete die Beschwerdeführerin im Schiedsverfahren darauf, rechtliche Argumente hierzu vorzubringen. Davon, dass es ihr verunmöglicht worden wäre, ihre Rechtsauffassung hinsichtlich der Bedeutung des Parteienwechsels in das Schiedsverfahren einzubringen, kann keine Rede sein. Im Übrigen erhebt sie mit ihrem Vorbringen, die von der Einzelschiedsrichterin vorgenommene Rechtsanwendung sei "krass falsch", keine nach Art. 190 Abs. 2 IPRG zulässige Rüge. Die Rüge, die Einzelschiedsrichterin habe den Grundsatz des rechtlichen Gehörs verletzt ( Art. 190 Abs. 2 lit. d IPRG ), erweist sich insgesamt als unbegründet.</w:t>
      </w:r>
    </w:p>
    <w:p>
      <w:r>
        <w:rPr>
          <w:b/>
        </w:rPr>
        <w:t>E. 5</w:t>
      </w:r>
    </w:p>
    <w:p>
      <w:r>
        <w:t>Die Beschwerde erweist sich als unbegründet und ist abzuweisen, soweit darauf eingetreten werden kann. Dem Ausgang des Verfahrens entsprechend wird die Beschwerdeführerin kosten- und entschädigungspflichtig ( Art. 66 Abs. 1 sowie Art. 68 Abs. 2 BGG ). Die Parteientschädigung wird aus der an die Bundesgerichtskasse bezahlten Sicherheitsleistung ausgerichtet. Damit wird das Gesuch des Beschwerdegegners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