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4A_474/2015 vom 19. April 2016</w:t>
      </w:r>
    </w:p>
    <w:p>
      <w:r>
        <w:t>Bundesgericht, 2016-04-19, DE</w:t>
      </w:r>
    </w:p>
    <w:p>
      <w:r>
        <w:rPr>
          <w:b/>
        </w:rPr>
        <w:t xml:space="preserve">Quelle: </w:t>
      </w:r>
      <w:r>
        <w:t>https://mcp.opencaselaw.ch/entscheid/bger_4A_474_2015</w:t>
      </w:r>
    </w:p>
    <w:p>
      <w:r>
        <w:t>FR: TF 4A_474/2015 du 19 avril 2016</w:t>
      </w:r>
    </w:p>
    <w:p>
      <w:r>
        <w:t>IT: TF 4A_474/2015 del 19 aprile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Beim angefochtenen Beschluss vom 17. bzw. 24. Juli 2015 handelt es sich um einen Endentscheid im Sinne von Art. 90 BGG . Für Beschwerden in Zivilsachen gegen Urteile kantonaler Handelsgerichte besteht kein Streitwerterfordernis ( Art. 74 Abs. 2 lit. b BGG i.V.m. Art. 6 ZPO [SR 272]; BGE 139 III 67 E. 1.2 S. 69).</w:t>
      </w:r>
    </w:p>
    <w:p>
      <w:r>
        <w:t>Demgegenüber handelt es sich beim Beschluss vom 12. November 2014 um einen Zwischenentscheid. Als solcher ist er durch Beschwerde gegen den Endentscheid anfechtbar, soweit er sich auf dessen Inhalt auswirkt ( Art. 93 Abs. 3 BGG ). Unabhängig davon, ob diese Voraussetzung vorliegend erfüllt ist, beanstanden die Beschwerdeführer lediglich, die Vorinstanz sei von einem zu hohen Streitwert ausgegangen, ohne daraus jedoch konkrete Anträge hinsichtlich Vorschuss und Sicherstellung bzw. Festsetzung der Prozesskosten abzuleiten; der blosse Rückweisungsantrag reicht nicht aus ( BGE 136 V 131 E. 1.2; 134 III 379 E. 1.3 S. 383; 133 III 489 E. 3.1). Auf die entsprechenden Ausführungen ist nicht einzugehen.</w:t>
      </w:r>
    </w:p>
    <w:p>
      <w:r>
        <w:rPr>
          <w:b/>
        </w:rPr>
        <w:t>E. 1.2</w:t>
      </w:r>
    </w:p>
    <w:p>
      <w:r>
        <w:t>Im Übrigen ist auf die Beschwerde - unter Vorbehalt einer hinreichenden Begründung ( Art. 42 Abs. 2 und Art. 106 Abs. 2 BGG ) - einzutreten. Entgegen der Ansicht der Beschwerdegegnerin trifft nicht zu, dass sich der Beschwerde keine rechtsgenügenden Rügen entnehmen liessen.</w:t>
      </w:r>
    </w:p>
    <w:p>
      <w:r>
        <w:rPr>
          <w:b/>
        </w:rPr>
        <w:t>E. 2</w:t>
      </w:r>
    </w:p>
    <w:p>
      <w:r>
        <w:t>Die Beschwerdeführer werfen der Vorinstanz vor, den Anspruch auf ein gesetzmässig besetztes Gericht ( Art. 30 Abs. 1 BV ) verletzt zu haben.</w:t>
      </w:r>
    </w:p>
    <w:p>
      <w:r>
        <w:rPr>
          <w:b/>
        </w:rPr>
        <w:t>E. 2.1</w:t>
      </w:r>
    </w:p>
    <w:p>
      <w:r>
        <w:t>Sie bringen vor, die vorliegend relevanten Beschlüsse der Vorinstanz seien jeweils in völlig unterschiedlicher Zusammensetzung ergangen. So seien an den Beschlüssen vom 12. November und 5. Dezember 2014 jeweils Oberrichter Heim (gemeint: Helm), Oberrichterin Grob, die Handelsrichter Haessig, Heim und Furrer sowie die leitende Gerichtsschreiberin Egloff beteiligt gewesen. Der Beschluss vom 17. Juli 2015 sei daraufhin in der Besetzung Oberrichter Helm, Oberrichterin Bühler, Handelsrichter Weber, Mathé und Müller sowie Gerichtsschreiberin Ohnjec ergangen. Schliesslich sei der Beschluss vom 24. Juli 2015 in der Besetzung Oberrichter Helm (recte: Daetwyler), Oberrichterin Bühler, Handelsrichter Heim, Müller und Graber sowie Gerichtsschreiberin Scheider gefasst worden.</w:t>
      </w:r>
    </w:p>
    <w:p>
      <w:r>
        <w:t>Für die gänzlich unterschiedliche Zusammensetzung des Spruchkörpers bei den Beschlüssen vom 17. und 24. Juli 2015 im Vergleich zu denjenigen vom 12. November und 5. Dezember 2014 sei kein Grund ersichtlich. Die erfolgte Änderung in der Zusammensetzung des Spruchkörpers sei unzulässig, könne es doch nicht im Belieben eines Gerichts liegen, fortlaufend Beschlüsse in jeweils völlig unterschiedlicher personeller Zusammensetzung zu treffen. Vielmehr hätten die Beschwerdeführer einen Anspruch auf einen konstant zusammengesetzten Spruchkörper. Dieser sei zur Instruktion und zum Entscheid in der Sache zuständig, nicht aber das gesamte Handelsgericht in jeweils beliebig unterschiedlicher Zusammensetzung. Durch die gänzlich unterschiedlichen Zusammensetzungen des Spruchkörpers ohne jeden sachlichen Grund sei ihr Anspruch auf eine rechtmässige Zusammensetzung des Gerichts bzw. auf ein in personeller Hinsicht zuständiges bzw. ordentlich besetztes Gericht gemäss Art. 30 Abs. 1 BV verletzt worden.</w:t>
      </w:r>
    </w:p>
    <w:p>
      <w:r>
        <w:rPr>
          <w:b/>
        </w:rPr>
        <w:t>E. 2.2.1</w:t>
      </w:r>
    </w:p>
    <w:p>
      <w:r>
        <w:t>Nach der neueren Rechtsprechung kann der Anspruch auf ein durch Gesetz geschaffenes Gericht verletzt sein ( Art. 30 Abs. 1 BV ), wenn die Zusammensetzung des Spruchkörpers im Verlauf des Verfahrens ohne hinreichende sachliche Gründe geändert wird. Jede Besetzung, die sich nicht mit sachlichen Gründen rechtfertigen lässt, verletzt die Garantie des verfassungsmässigen Richters ( BGE 137 I 340 E. 2.2.1 S. 342 mit Hinweisen).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(Urteile 4A_271/2015 vom 29. September 2015 E. 6.2; 5A_429/2011 vom 9. August 2011 E. 3.2; 4A_473/2014 vom 11. Dezember 2014 E. 4.2; 8C_58/2014 vom 24. September 2014 E. 2.3; 1B_277/2013 vom 15. April 2014 E. 2; 4A_263/2012 vom 22. Oktober 2012 E. 2.1.2; 6P.102/2005 vom 26. Juni 2006 E. 2.2).</w:t>
      </w:r>
    </w:p>
    <w:p>
      <w:r>
        <w:t>Das Bundesgericht hat in diesem Zusammenhang in einem neuen Entscheid darauf hingewiesen, dass es bei Änderungen des einmal besetzten Spruchkörpers Aufgabe des Gerichts ist, die Parteien auf beabsichtigte Auswechslungen von mitwirkenden Richtern und die Gründe dafür hinzuweisen. Erst wenn der Partei die Gründe für die Besetzungsänderung bekannt gegeben worden sind, liegt es an ihr, deren Sachlichkeit substanziiert zu bestreiten (Urteil 4A_271/2015 vom 29. September 2015 E. 8.2, zur Publikation vorgesehen).</w:t>
      </w:r>
    </w:p>
    <w:p>
      <w:r>
        <w:rPr>
          <w:b/>
        </w:rPr>
        <w:t>E. 2.2.2</w:t>
      </w:r>
    </w:p>
    <w:p>
      <w:r>
        <w:t>Wie sich aus den vorinstanzlichen Akten ergibt, ergingen die beiden Beschlüsse vom 12. November und 5. Dezember 2014 in derselben Besetzung. In der Folge wechselte jedoch der Spruchkörper und der Nichteintretensbeschluss vom 17. Juli 2015 wurde - mit Ausnahme des vorsitzenden Oberrichters Helm - in gänzlich geänderter Zusammensetzung gefasst. Die Änderung des Spruchkörpers im Verlauf des vorinstanzlichen Verfahrens wurde den Parteien nicht angekündigt. Auch im bundesgerichtlichen Verfahren äusserte sich die Vorinstanz nicht zu den Gründen für den Wechsel. Den Beschwerdeführern war es damit nicht möglich, die Sachlichkeit der Gründe für die erfolgte Besetzungsänderung substanziiert zu bestreiten. Entgegen der Ansicht der Beschwerdegegnerin, die diesen Umstand wie auch die aufgeführten Grundsätze des gebotenen Vorgehens nach neuster Rechtsprechung verkennt, ist der in der Beschwerde erhobene Vorwurf der Verletzung des Anspruchs auf ein gesetzmässig besetztes Gericht demnach begründet.</w:t>
      </w:r>
    </w:p>
    <w:p>
      <w:r>
        <w:t>Dies führt aufgrund der formellen Natur des Anspruchs nach Art. 30 Abs. 1 BV ungeachtet der materiellen Begründetheit des Rechtsmittels zur Aufhebung der angefochtenen Beschlüsse vom 17. und 24. Juli 2015 und zur Rückweisung der Sache an die Vorinstanz (Urteil 4A_271/2015 vom 29. September 2015 E. 8.3 mit Hinweisen, zur Publikation vorgesehen).</w:t>
      </w:r>
    </w:p>
    <w:p>
      <w:r>
        <w:rPr>
          <w:b/>
        </w:rPr>
        <w:t>E. 3</w:t>
      </w:r>
    </w:p>
    <w:p>
      <w:r>
        <w:t>Die Beschwerde ist teilweise gutzuheissen, die angefochtenen Beschlüsse vom 17. und 24. Juli 2015 sind aufzuheben und die Sache ist zu neuer Entscheidung an die Vorinstanz zurückzuweisen. Bei diesem Verfahrensausgang wird die Beschwerdegegnerin kosten- und entschädigungspflichtig ( Art. 66 Abs. 1 und Art. 68 Abs. 2 BGG ). Den Beschwerdeführern ist die von ihnen an die Bundesgerichtskasse bezahlte Sicherheitsleistung von Fr.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