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474/2011 vom 4. Januar 2012</w:t>
      </w:r>
    </w:p>
    <w:p>
      <w:r>
        <w:t>Bundesgericht, 2012-01-04, DE</w:t>
      </w:r>
    </w:p>
    <w:p>
      <w:r>
        <w:rPr>
          <w:b/>
        </w:rPr>
        <w:t xml:space="preserve">Quelle: </w:t>
      </w:r>
      <w:r>
        <w:t>https://mcp.opencaselaw.ch/entscheid/bger_4A_474_2011</w:t>
      </w:r>
    </w:p>
    <w:p>
      <w:r>
        <w:t>FR: TF 4A 474/2011 du 4 janvier 2012</w:t>
      </w:r>
    </w:p>
    <w:p>
      <w:r>
        <w:t>IT: TF 4A 474/2011 del 4 gennaio 2012</w:t>
      </w:r>
    </w:p>
    <w:p>
      <w:pPr>
        <w:pStyle w:val="Heading2"/>
      </w:pPr>
      <w:r>
        <w:t>Regeste</w:t>
      </w:r>
    </w:p>
    <w:p>
      <w:r>
        <w:t>aktienrechtliche Verantwortlichkeit | Gesellschaftsrecht</w:t>
      </w:r>
    </w:p>
    <w:p>
      <w:pPr>
        <w:pStyle w:val="Heading2"/>
      </w:pPr>
      <w:r>
        <w:t>Erwägungen</w:t>
      </w:r>
    </w:p>
    <w:p>
      <w:r>
        <w:rPr>
          <w:b/>
        </w:rPr>
        <w:t>E. 1</w:t>
      </w:r>
    </w:p>
    <w:p>
      <w:r>
        <w:t>Die Beschwerdeführerin ficht mit ihrer Beschwerde die Klageabweisung nur betreffend die Beklagten 4 und 5 (A.________ und B.________ = Beschwerdegegner 1 und 2) an. Die Klageabweisung gegenüber dem Beklagten 1 (H.________) und dem Beklagten 3 (E.________ = Beschwerdegegner 5) lässt sie unbeanstandet. Innerhalb der Beschwerdefrist teilte die Beschwerdeführerin dem Bundesgericht mit, dass die im Prozess verbleibenden Beklagten 2 und 6 (C.________ und die D.________ AG = Beschwerdegegner 3 und 4) mit Blick auf die Solidarhaftung und der Beklagte 3 (E.________ = Beschwerdegegner 5) wegen des ebenfalls angefochtenen Entscheids über die Parteientschädigung von der Beschwerde betroffen sein könnten. Das Bundesgericht nahm diese Parteien deshalb als weitere Beschwerdegegner in das Rubrum auf.</w:t>
      </w:r>
    </w:p>
    <w:p>
      <w:r>
        <w:rPr>
          <w:b/>
        </w:rPr>
        <w:t>E. 2</w:t>
      </w:r>
    </w:p>
    <w:p>
      <w:r>
        <w:t>Das angefochtene Urteil des Obergerichts als einer letzten kantonalen Instanz ( Art. 75 Abs. 1 BGG ) beendet das Verfahren für die Beklagten 1 und 3-5, indem die gegen diese Beklagten gerichtete Klage bzw. die Appellation der Klägerin abgewiesen wird. Dabei handelt es sich um einen Teilentscheid ( Art. 91 lit. b BGG ), gegen den die Beschwerde zulässig ist. Sodann übersteigt der Streitwert die Grenze nach Art. 74 Abs. 1 lit. b BGG . Da auch die übrigen Sachurteilsvoraussetzungen erfüllt sind, ist - unter Vorbehalt einer hinlänglichen Begründung ( Art. 42 Abs. 2 und Art. 106 Abs. 2 BGG ) - auf die Beschwerde einzutreten.</w:t>
      </w:r>
    </w:p>
    <w:p>
      <w:r>
        <w:rPr>
          <w:b/>
        </w:rPr>
        <w:t>E. 3</w:t>
      </w:r>
    </w:p>
    <w:p>
      <w:r>
        <w:t>Streitig ist, ob die Vorinstanz eine allfällige Haftung der Beklagten 4 und 5 zu Recht verneint hat.</w:t>
      </w:r>
    </w:p>
    <w:p>
      <w:r>
        <w:rPr>
          <w:b/>
        </w:rPr>
        <w:t>E. 3.1</w:t>
      </w:r>
    </w:p>
    <w:p>
      <w:r>
        <w:t>Das Bundesgericht führte im Rückweisungsentscheid vom 19. Juni 2001 Erwägung 6b/bb aus: "Erweist sich einer der geltend gemachten Schadenersatzansprüche als begründet, wird das Obergericht zu entscheiden haben, gegenüber welchen Beklagten er besteht. Diese Frage ist für den mittelbaren und den unmittelbaren Schaden allenfalls unterschiedlich zu beantworten. aa) [...] bb) In Bezug auf den indirekten Schaden fällt in Betracht, dass die Pflicht zur Benachrichtigung des Richters grundsätzlich allein dem Verwaltungsrat obliegt, der diese Aufgabe nicht delegieren kann (FORSTMOSER/MEIER-HAYOZ/NOBEL, a.a.O., § 50 Rz. 209). Selbst faktische Organe können daher nicht für eine verspätete Benachrichtigung des Richters zur Rechenschaft gezogen werden, es sei denn, sie hätten den Verwaltungsrat von der Benachrichtigung abgehalten oder ihn über das Bestehen der Überschuldung zu informieren unter- lassen (unveröffentlichtes Urteil des Bundesgerichts vom 2. November 1998 i.S. B. E. 4c und d). Die Verantwortlichkeit der Revisionsstelle in Bezug auf die Benachrichtigung des Richters beurteilt sich nach Massgabe von Art. 729b Abs. 2 OR . "</w:t>
      </w:r>
    </w:p>
    <w:p>
      <w:r>
        <w:rPr>
          <w:b/>
        </w:rPr>
        <w:t>E. 3.2</w:t>
      </w:r>
    </w:p>
    <w:p>
      <w:r>
        <w:t>In Nachachtung dieser bundesgerichtichen Erwägung prüfte die Vorinstanz für die einzelnen Beklagten, ob sie für die einzig verbleibende in Betracht kommende Pflichtverletzung der verspäteten Überschuldungsanzeige nach Art. 725 Abs. 2 OR aufgrund ihrer je gegebenen Stellung verantwortlich gemacht werden können. Dies verneinte sie sowohl für die Beklagten 1 und 3 (H.________ und E.________) als auch für die beiden Beiräte A.________ und B.________ (Beklagte 4 und 5). Bezüglich der Beklagten 4 und 5 hielt die Vorinstanz fest, dass sie nicht im Handelsregister eingetragen gewesen seien. Zur Behauptung der Beschwerdeführerin, die beiden Beiräte seien wie die Verwaltungsräte von der Generalversammlung gewählt worden, lasse sich den Akten nichts entnehmen. Ob sich die beiden Beiräte tatsächlich Organen vorbehaltene Kompetenzen angemasst hätten oder lediglich als textiltechnische Sachverständige tätig gewesen seien, könne offen bleiben. Denn die Beschwerdeführerin behaupte nicht, sie hätten den Verwaltungsratspräsidenten C.________ von einer Benachrichtigung des Richters abgehalten oder ihn über das Bestehen einer Überschuldung nicht informiert. Sie werfe den beiden Beiräten einzig vor, sie seien trotz Kenntnis der prekären finanziellen Lage untätig geblieben. Da sie aber höchstens als faktische Organe betrachtet werden könnten, entfalle nach der bundesgerichtlichen Erwägung eine Haftung der Beklagten 4 und 5.</w:t>
      </w:r>
    </w:p>
    <w:p>
      <w:r>
        <w:rPr>
          <w:b/>
        </w:rPr>
        <w:t>E. 3.3</w:t>
      </w:r>
    </w:p>
    <w:p>
      <w:r>
        <w:t>Die Beschwerdeführerin bringt vor, der formellen Überschuldungsanmeldung müsse ein Beschluss des Verwaltungsrates zugrunde liegen. Zum Verwaltungsrat gehörten auch stille und faktische Verwaltungsräte. Verantwortlich für die Fällung des Beschlusses sei der Gesamtverwaltungsrat, das heisse alle Mitglieder, formelle, stille und faktische. Die Beklagten 4 und 5 seien in Wirklichkeit Verwaltungsratsmitglieder gewesen. Mit ihrem anderslautenden Urteil treffe die Vorinstanz aktenwidrige Feststellungen und verletze Bundesrecht, namentlich Art. 754, 725 und 716a OR . Soweit diese Rügen überhaupt rechtsgenüglich begründet und daher zu prüfen sind, gehen sie fehl.</w:t>
      </w:r>
    </w:p>
    <w:p>
      <w:r>
        <w:rPr>
          <w:b/>
        </w:rPr>
        <w:t>E. 3.4</w:t>
      </w:r>
    </w:p>
    <w:p>
      <w:r>
        <w:t>Aufgrund der verbindlichen Erwägung des Bundesgerichts im Rückweisungsentscheid vom 19. Juni 2001 käme eine Haftung der Beklagten 4 und 5 im Zusammenhang mit einer verspäteten Überschuldungsanzeige nur in Betracht, wenn sie die Stellung formeller (oder allenfalls stiller) Verwaltungsräte inne gehabt hätten oder wenn sie zwar bloss faktische Organe waren, aber den formellen Verwaltungsrat von der Benachrichtigung abhielten oder es unterliessen, diesen über das Bestehen der Überschuldung zu informieren. Alle diese Voraussetzungen sind nach den vorinstanzlichen Feststellungen nicht gegeben: So ist unbestritten, dass die Beklagten 4 und 5 nicht formell dem Verwaltungsrat angehörten, waren sie doch nicht im Handelsregister eingetragen. Ebenso wenig könnten sie als stille Verwaltungsratsmitglieder angesehen werden. Ein stilles Verwaltungsratsmitglied ist ordnungsgemäss von der Generalversammlung in den Verwaltungsrat gewählt, was aber vor Dritten geheim gehalten wird, indem die gewählte Person nicht im Handelsregister eingetragen wird (PETER BÖCKLI, Schweizer Aktienrecht, 4. Aufl. Zürich/Basel/Genf 2009 § 13 Rz. 91; CHRISTA SOMMER, Die Treuepflicht des Verwaltungsrats gemäss Art. 717 Abs. 1 OR , Diss. Zürich/St. Gallen 2010, S. 30). Gemäss der verbindlichen und von der Beschwerdeführerin nicht (substanziiert) angefochtenen Feststellung der Vorinstanz ( Art. 105 Abs. 1 BGG ) ist aufgrund der Akten nicht dargetan, dass die Beklagten 4 und 5 von der Generalversammlung in den Verwaltungsrat gewählt wurden. Sie scheiden somit von vornherein auch als stille Verwaltungsratsmitglieder aus. Damit kommen die Beklagten 4 und 5 höchstens als faktische Organe in Betracht. Als faktische Organe gelten Personen, die tatsächlich Organen vorbehaltene Entscheide treffen oder die eigentliche Geschäftsführung besorgen und so die Willensbildung der Gesellschaft massgebend mitbestimmen ( BGE 132 III 523 E. 4.5. S. 528 f.; 128 III 29 E. 3a, 92 E. 3a; 117 II 570 E. 3 S. 571). Laut Vorinstanz lässt sich den Akten, insbesondere den Protokollen der Verwaltungsrats-, Generalversammlungs- sowie Geschäftsleitungssitzungen, nicht schlüssig entnehmen, ob sich die Beklagten 4 und 5 tatsächlich den Organen vorbehaltene Kompetenzen angemasst haben. Die Beschwerdeführerin beanstandet diese Feststellung als offensichtlich unrichtig und aktenwidrig und hält dafür, es ergebe sich aus "allen Dokumenten", dass die Beklagten 4 und 5 tatsächlich Mitglieder des Verwaltungsrats gewesen seien. Ihre diesbezüglichen Ausführungen sind jedoch nicht entscheiderheblich, und es ist nicht weiter darauf einzugehen. Denn die Vorinstanz hat die Frage, ob die Beklagten 4 und 5 als faktische Verwaltungsräte oder lediglich als textiltechnische Sachverständige anzusehen sind, offen gelassen. In der Tat braucht diese Frage nicht entschieden zu werden, da nach der zitierten bundesgerichtlichen Erwägung eine Haftung der Beklagten 4 und 5, selbst wenn sie als faktische Organe zu qualifizieren wären, im Zusammenhang mit einer verspäteten Überschuldungsanzeige nur in Betracht käme, wenn sie den formellen Verwaltungsrat von der Benachrichtigung abhielten oder es unterliessen, diesen über das Bestehen der Überschuldung zu informieren. Solches hat die Beschwerdeführerin aber nach den Feststellungen der Vorinstanz nicht einmal behauptet. Nach dem Gesagten ist es bundesrechtlich nicht zu beanstanden, dass die Vorinstanz eine Haftung der Beklagten 4 und 5 verneinte.</w:t>
      </w:r>
    </w:p>
    <w:p>
      <w:r>
        <w:rPr>
          <w:b/>
        </w:rPr>
        <w:t>E. 3.5</w:t>
      </w:r>
    </w:p>
    <w:p>
      <w:r>
        <w:t>Demnach ist auch die ebenfalls angefochtene Dispositiv-Ziffer 3.2 des vorinstanzlichen Urteils korrekt, wonach die Vorinstanz den obsiegenden Beklagten 3-5 eine Parteientschädigung (für den gemeinsamen Rechtsvertreter) zusprach. Die Beschwerdeführerin bringt dazu in ihrer Beschwerdebegründung denn auch nichts weiter vor.</w:t>
      </w:r>
    </w:p>
    <w:p>
      <w:r>
        <w:rPr>
          <w:b/>
        </w:rPr>
        <w:t>E. 4</w:t>
      </w:r>
    </w:p>
    <w:p>
      <w:r>
        <w:t>Die Beschwerde erweist sich als unbegründet und ist abzuweisen, soweit darauf einzutreten ist. Bei diesem Ausgang des Verfahrens wird die Beschwerdeführerin kosten- und entschädigungspflichtig ( Art. 66 Abs. 1 und Art. 68 Abs. 2 BGG ). Eine Parteientschädigung ist lediglich an die Beschwerdegegner 1 und 2 sowie den Beschwerdegegner 5, die alle vom gleichen Rechtsanwalt vertreten sind, zuzusprechen. Der Beschwerdegegner 3 beantragte, die Beschwerde zu schützen, und gilt daher nicht als obsiegende Partei. Er hat keinen Anspruch auf eine Parteientschädigung. Die Beschwerdegegnerin 4 äusserte sich in ihrer halbseitigen Stellungnahme nicht eigentlich zu den in der Beschwerde aufgeworfenen Fragen und stellte keinen Antrag zur Beschwerde. Es erscheint daher nicht gerechtfertigt, ihr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