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473/2011 vom 22. Dezember 2011</w:t>
      </w:r>
    </w:p>
    <w:p>
      <w:r>
        <w:t>Bundesgericht, 2011-12-22, FR</w:t>
      </w:r>
    </w:p>
    <w:p>
      <w:r>
        <w:rPr>
          <w:b/>
        </w:rPr>
        <w:t xml:space="preserve">Quelle: </w:t>
      </w:r>
      <w:r>
        <w:t>https://mcp.opencaselaw.ch/entscheid/bger_4A_473_2011</w:t>
      </w:r>
    </w:p>
    <w:p>
      <w:r>
        <w:t>FR: TF 4A 473/2011 du 22 décembre 2011</w:t>
      </w:r>
    </w:p>
    <w:p>
      <w:r>
        <w:t>IT: TF 4A 473/2011 del 22 dicembre 2011</w:t>
      </w:r>
    </w:p>
    <w:p>
      <w:pPr>
        <w:pStyle w:val="Heading2"/>
      </w:pPr>
      <w:r>
        <w:t>Regeste</w:t>
      </w:r>
    </w:p>
    <w:p>
      <w:r>
        <w:t>légitimation passive | Droit des contrats</w:t>
      </w:r>
    </w:p>
    <w:p>
      <w:pPr>
        <w:pStyle w:val="Heading2"/>
      </w:pPr>
      <w:r>
        <w:t>Erwägungen</w:t>
      </w:r>
    </w:p>
    <w:p>
      <w:r>
        <w:rPr>
          <w:b/>
        </w:rPr>
        <w:t>E. 1.1</w:t>
      </w:r>
    </w:p>
    <w:p>
      <w:r>
        <w:t>Le recours en matière civile ( art. 72 ss LTF ) est dirigé contre un arrêt final ( art. 90 LTF ); selon les conclusions restées litigieuses devant l'autorité précédente ( art. 51 al. 1 let. a LTF ), la valeur litigieuse n'atteint pas le seuil de 30'000 fr. exigé par l' art. 74 al. 1 let. b LTF . Le recourant expose cependant ( art. 42 al. 2 2 e phrase LTF) que la contestation soulèverait une question juridique de principe, de sorte que le recours serait recevable alors même que la valeur litigieuse minimale n'est pas atteinte ( art. 74 al. 1 let. a LTF ). La jurisprudence a souligné qu'il fallait se montrer restrictif dans l'admission d'une dérogation à l'exigence de la valeur litigieuse minimale.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Le pouvoir de représenter une société anonyme est régi par l' art. 718 CO . Les conditions dans lesquelles une personne peut, sans s'engager elle-même, conclure un contrat au nom et pour le compte d'autrui en tant que représentant direct sont réglées par les art. 32 ss CO et donnent lieu à une jurisprudence et à une doctrine détaillées (cf. par exemple CHRISTINE CHAPPUIS, in Commentaire romand, CO I, nos 11 à 13 ad art. 32 CO ). Quant à la théorie de la transparence, abondamment invoquée par le recourant, elle donne lieu également à une jurisprudence constante. Lorsqu'une personne fonde une société anonyme, il faut en principe considérer qu'il y a deux sujets de droits distincts avec des patrimoines séparés: la personne physique d'une part et la société anonyme d'autre part (arrêt 4C.15/2004 du 12 mai 2004 consid. 5.2). Malgré l'identité entre la société anonyme et son actionnaire unique, on les traite en principe comme des sujets de droits distincts ( ATF 128 II 329 consid. 2.4 p. 333 et les arrêts cités). Selon la théorie de la transparence,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4A_58/2011 du 17 juin 2011 consid. 2.4.1; 4A_384/2008 du 9 décembre 2008 consid. 4.1 publié in SJ 2009 I p. 424; cf. également: arrêts 5A_175/2010 du 25 mai 2010 consid. 3.3.4; 4C.15/2004 déjà cité consid. 5.2; ATF 112 II 503 consid. 3b p. 506).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4A_58/2011 déjà cité consid. 2.4.1; 4C.231/1997 du 15 septembre 1998 consid. 2b). Le présent recours ne porte que sur l'application de ces principes juridiques à un cas concret, de sorte qu'il ne peut s'agir d'une contestation soulevant une question juridique de principe au sens de l' art. 74 al. 2 let. a LTF (cf. ATF 135 III 1 consid. 1.3 p. 4, 397 consid. 1.2 p. 399; 133 III 493 consid. 1 p. 494 ss). Le recours en matière civile est donc irrecevable.</w:t>
      </w:r>
    </w:p>
    <w:p>
      <w:r>
        <w:rPr>
          <w:b/>
        </w:rPr>
        <w:t>E. 1.2</w:t>
      </w:r>
    </w:p>
    <w:p>
      <w:r>
        <w:t>Interjeté par la partie qui a succombé dans ses conclusions libératoires et qui a donc un intérêt juridique à l'annulation ou à la modification de la décision ( art. 115 LTF ), le recours constitutionnel subsidiaire ( art. 113 LTF ), déposé dans le délai (art. 46 al. 1 let. b, 48 al. 1 et 100 al. 1 LTF) et dans la forme ( art. 42 LTF ) prévus par la loi, est en principe recevable, puisqu'il est dirigé contre une décision finale ( art. 90 LTF applicable par le renvoi de l' art. 117 LTF ) rendue par une autorité cantonale de dernière instance ( art. 113 LTF ) statuant sur recours ( art. 114 et 75 al. 2 LTF ).</w:t>
      </w:r>
    </w:p>
    <w:p>
      <w:r>
        <w:rPr>
          <w:b/>
        </w:rPr>
        <w:t>E. 1.3</w:t>
      </w:r>
    </w:p>
    <w:p>
      <w:r>
        <w:t>Le recours subsidiaire ne peut être interjeté que pour violation des droits constitutionnels ( art. 116 LTF ). Le Tribunal fédéral ne peut examiner la violation d'un droit de rang constitutionnel que si le grief a été invoqué et motivé de manière précise dans l'acte de recours ( art. 117 et 106 al. 2 LTF ).</w:t>
      </w:r>
    </w:p>
    <w:p>
      <w:r>
        <w:rPr>
          <w:b/>
        </w:rPr>
        <w:t>E. 1.4</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1.5</w:t>
      </w:r>
    </w:p>
    <w:p>
      <w:r>
        <w:t>Le Tribunal fédéral ne peut aller au-delà des conclusions des parties ( art. 117 et 107 al. 1 LTF ). Toute conclusion nouvelle est irrecevable ( art. 117 et 99 al. 2 LTF ).</w:t>
      </w:r>
    </w:p>
    <w:p>
      <w:r>
        <w:rPr>
          <w:b/>
        </w:rPr>
        <w:t>E. 2.1</w:t>
      </w:r>
    </w:p>
    <w:p>
      <w:r>
        <w:t>En l'espèce, le recourant n'invoque la violation que d'un seul droit constitutionnel, à savoir l'interdiction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Dans le domaine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500; 129 I 8 consid. 2.1 p. 9).</w:t>
      </w:r>
    </w:p>
    <w:p>
      <w:r>
        <w:rPr>
          <w:b/>
        </w:rPr>
        <w:t>E. 2.2</w:t>
      </w:r>
    </w:p>
    <w:p>
      <w:r>
        <w:t>Le recourant soutient qu'il ne s'est pas engagé en son nom personnel, mais au nom d'une société qu'il représentait. Le demandeur n'aurait pas dû assigner à ses côtés la succursale de ... de cette société, parce qu'une succursale n'est pas dotée de la personnalité juridique. Selon les inscriptions au registre du commerce - qui sont notoires -, il existait au moment de la conclusion du contrat une société V.________ AG inscrite au registre du commerce de Zoug depuis 1994. Cette société a été ensuite transférée à Berne où elle a été inscrite au registre du commerce le 22 avril 2008. La société V.________AG, alors à Zoug, a fait inscrire une succursale à ... le 5 juillet 2005. En droit suisse, une succursale est une partie d'une entreprise principale qui dispose durablement de ses propres installations où elle exerce une activité analogue à celle de l'entreprise principale et qui jouit d'une certaine indépendance financière et commerciale ( ATF 117 II 85 consid. 3 p. 87); la succursale n'a pas la personnalité juridique ( ATF 120 III 11 consid. 1a p. 13; arrêt 4P.146/2005 du 10 octobre 2005 consid. 5.2.2 publié in RtiD 2006 II p. 669; arrêt 4C.270/2003 du 28 novembre 2003 consid. 1.1). Il faut donc déterminer si, au moment de conclure, le recourant s'est engagé en son nom personnel ou en tant que représentant de la société V.________AG, alors à Zoug. Le projet de contrat n'est pas déterminant, puisqu'il n'a jamais été signé. On observera cependant que ce projet mentionne aussi bien le nom du recourant que le nom de la société, en reproduisant deux fois la même adresse à .... Ce texte est donc ambigu. Le recourant ne soutient pas que les constatations cantonales sur ce point (p. 3 de l'arrêt attaqué) seraient arbitraires et on ne voit pas pourquoi elles le seraient, de sorte qu'elles lient le Tribunal fédéral ( art. 118 LTF ). Par la suite, le recourant a échangé des communications avec l'architecte en utilisant un ton très personnel. La formule "tu as ma parole" évoque clairement la notion de la parole donnée et incite à admettre un engagement personnel. Par un échange de courriers électroniques du 19 mai 2005, le recourant et l'architecte sont parvenus à la conclusion que le contrat était conclu. A ce moment, le recourant n'a pas manifesté la volonté d'agir au nom et pour le compte d'une société. Il faut donc constater - sur la base de l'état de fait qui lie le Tribunal fédéral ( art. 118 LTF ) - que le recourant, au moment de conclure, n'a pas déclaré qu'il agissait au nom d'une société (cf. art. 32 al. 1 CO ). Ce point était pour le moins ambigu et l'intimé ne pouvait pas inférer des circonstances que le recourant agissait en tant que représentant direct (cf. art. 32 al. 2 CO ). Il reste qu'il était peut-être indifférent pour l'intimé de conclure avec le recourant personnellement ou avec une société (cf. art. 32 al. 2 CO ). La jurisprudence a cependant affirmé que celui qui attend d'être recherché personnellement pour faire état de sa qualité de représentant, qu'il n'a pas révélée lors de la conclusion du contrat, commet un abus de droit manifeste (venire contra factum proprium) qui n'est pas protégé par la loi en vertu de l' art. 2 al. 2 CC ( ATF 117 II 387 consid. 2a p. 389 s.). Or, c'est précisément ce que fait le recourant. En conséquence, la cour cantonale n'est pas tombée dans l'arbitraire en considérant que le recourant devait être tenu pour personnellement engagé. Le recourant ne pouvait, par des actes postérieurs à la conclusion du contrat, modifier unilatéralement la détermination des cocontractants. Quant à la légitimation active, l'architecte a constamment agi en son nom personnel au stade de la conclusion du contrat et il n'a fait aucune déclaration donnant à penser qu'il ne concluait pas lui-même le contrat, mais qu'il le faisait au nom d'une société à responsabilité limitée. Sa légitimation active a donc été admise sans arbitraire. Ainsi, l'arrêt attaqué, au moins dans son résultat, ne viole pas l'interdiction de l'arbitraire ( art. 9 Cst. ).</w:t>
      </w:r>
    </w:p>
    <w:p>
      <w:r>
        <w:rPr>
          <w:b/>
        </w:rPr>
        <w:t>E. 3</w:t>
      </w:r>
    </w:p>
    <w:p>
      <w:r>
        <w:t>Le recours constitutionnel doit en conséquence être rejeté. Les frais judiciaires et les dépens doivent être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