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472/2020 vom 15. Oktober 2020</w:t>
      </w:r>
    </w:p>
    <w:p>
      <w:r>
        <w:t>Bundesgericht, 2020-10-15, DE</w:t>
      </w:r>
    </w:p>
    <w:p>
      <w:r>
        <w:rPr>
          <w:b/>
        </w:rPr>
        <w:t xml:space="preserve">Quelle: </w:t>
      </w:r>
      <w:r>
        <w:t>https://mcp.opencaselaw.ch/entscheid/bger_4A_472_2020</w:t>
      </w:r>
    </w:p>
    <w:p>
      <w:r>
        <w:t>FR: TF 4A 472/2020 du 15 octobre 2020</w:t>
      </w:r>
    </w:p>
    <w:p>
      <w:r>
        <w:t>IT: TF 4A 472/2020 del 15 ottobre 2020</w:t>
      </w:r>
    </w:p>
    <w:p>
      <w:pPr>
        <w:pStyle w:val="Heading2"/>
      </w:pPr>
      <w:r>
        <w:t>Regeste</w:t>
      </w:r>
    </w:p>
    <w:p>
      <w:r>
        <w:t>Vertragsrecht</w:t>
      </w:r>
    </w:p>
    <w:p>
      <w:pPr>
        <w:pStyle w:val="Heading2"/>
      </w:pPr>
      <w:r>
        <w:t>Volltext</w:t>
      </w:r>
    </w:p>
    <w:p>
      <w:r>
        <w:t>Bundesgericht I. Zivilrechtliche Abteilung 15.10.2020 4A 472/2020 (4A_472/2020) Tribunal fédéral Ire Cour de droit civil 15.10.2020 4A 472/2020 (4A_472/2020) Tribunale federale I Corte di diritto civile 15.10.2020 4A 472/2020 (4A_472/2020)</w:t>
      </w:r>
    </w:p>
    <w:p>
      <w:r>
        <w:t>Vertragsrecht</w:t>
      </w:r>
    </w:p>
    <w:p>
      <w:r>
        <w:t>Bundesgericht Tribunal fédéral Tribunale federale Tribunal federal 4A_472/2020 Urteil vom 15. Oktober 2020 I. zivilrechtliche Abteilung Besetzung Bundesrichterin Kiss, Präsidentin, Gerichtsschreiber Widmer. Verfahrensbeteiligte 1. A.________, vertreten durch Rechtsanwalt Dr. Robert Simmen, 2. B.________, Beschwerdeführer, gegen C.________ AG, vertreten durch Rechtsanwalt Dr. Franz J. Kessler, Beschwerdegegnerin. Gegenstand Darlehen; Kostenvorschussverfügung, Beschwerde gegen das Urteil des Obergerichts des Kantons Zürich, I. Zivilkammer, vom 10. Juli 2020 (RB200009-O/U). In Erwägung, dass die Parteien vor dem Bezirksgericht Zürich in einem Aberkennungsprozess betreffend einer Darlehensforderung stehen; dass das Bezirksgericht den Beschwerdeführern mit Beschluss vom 19. März 2020 eine nicht erstreckbare Frist von 20 Tagen ansetzte, um für die Gerichtskosten einen Kostenvorschuss von Fr. 51'820.-- zu leisten und um für die Parteientschädigung der Beschwerdegegnerin eine Sicherheit von Fr. 56'510.-- zu hinterlegen; dass die Beschwerdeführer dagegen beim Obergericht des Kantons Zürich Beschwerde erhoben und beantragten, in Nachachtung des effektiven Streitwerts von max. Fr. 100'000.-- sei der Kostenvorschuss auf Fr. 8'750.-- und die Sicherheitsleistung für die Parteientschädigung auf Fr. 10'900.-- festzusetzen; dass das Obergericht die Beschwerde mit Urteil vom 10. Juli 2020 abwies; dass die Beschwerdeführer dagegen mit Eingabe vom 14. September 2020 Beschwerde in Zivilsachen erhoben; dass es sich beim angefochtenen Entscheid des Obergerichts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 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 dass die Zulässigkeit der Beschwerde nach Art. 93 Abs. 1 lit. b BGG vorliegend von vornherein ausser Frage steht, da das Bundesgericht im Fall der Gutheissung der Beschwerde keinen Endentscheid fällen könnte; 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 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 dass indessen nach der Rechtsprechung des Bundesgerichts die beschwerdeführende Partei, die eine mögliche Verhinderung des Zugangs zum Gericht geltend macht, dartun muss, dass dieser rechtliche Nachteil, nämlich die Säumnisfolge, wirklich droht; dass im vorliegenden Fall noch keine Nachfrist im Sinne von Art. 101 Abs. 3 ZPO mit Androhung eines Nichteintretens für den Säumnisfall angesetzt wurde; dass unabhängig davon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 dass die Beschwerdeführer insoweit lediglich vorbringen, mit der geradezu prohibitiv hohen Festlegung des Prozesskostenvorschusses und der Sicherheitsleistung durch das Bezirksgericht werde ihnen die Führung des von ihnen eingeleiteten Aberkennungsprozesses praktisch verunmöglicht, was auch die in Art. 29a BV statuierte Rechtsweggarantie tangiere; dass die Beschwerdeführer damit ihre finanzielle Unfähigkeit, den verlangten Kostenvorschuss zu leisten, nicht, jedenfalls nicht hinreichend substanziiert behauptet haben; dass sich die Beschwerde demnach als offensichtlich unzulässig erweist, weshalb auf sie im Verfahren nach Art. 108 Abs. 1 lit. a BGG nicht einzutreten ist; dass bei diesem Ausgang des Verfahrens die Gerichtskosten den Beschwerdeführern unter solidarischer Haftbarkeit aufzuerlegen sind ( Art. 66 Abs. 1 und 5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den Beschwerdeführern unter solidarischer Haftbarkeit auferlegt. 3. Dieses Urteil wird den Parteien und dem Obergericht des Kantons Zürich, I. Zivilkammer, schriftlich mitgeteilt. Lausanne, 15. Oktober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