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4A_470/2024 vom 7. Januar 2025</w:t>
      </w:r>
    </w:p>
    <w:p>
      <w:r>
        <w:t>Bundesgericht, 2025-01-07, DE</w:t>
      </w:r>
    </w:p>
    <w:p>
      <w:r>
        <w:rPr>
          <w:b/>
        </w:rPr>
        <w:t xml:space="preserve">Quelle: </w:t>
      </w:r>
      <w:r>
        <w:t>https://mcp.opencaselaw.ch/entscheid/bger_4A_470_2024</w:t>
      </w:r>
    </w:p>
    <w:p>
      <w:r>
        <w:t>FR: TF 4A_470/2024 du 7 janvier 2025</w:t>
      </w:r>
    </w:p>
    <w:p>
      <w:r>
        <w:t>IT: TF 4A_470/2024 del 7 gennaio 2025</w:t>
      </w:r>
    </w:p>
    <w:p>
      <w:pPr>
        <w:pStyle w:val="Heading2"/>
      </w:pPr>
      <w:r>
        <w:t>Erwägungen</w:t>
      </w:r>
    </w:p>
    <w:p>
      <w:r>
        <w:rPr>
          <w:b/>
        </w:rPr>
        <w:t>E. 1.1</w:t>
      </w:r>
    </w:p>
    <w:p>
      <w:r>
        <w:t>Die eingeklagte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w:t>
      </w:r>
    </w:p>
    <w:p>
      <w:r>
        <w:rPr>
          <w:b/>
        </w:rPr>
        <w:t>E. 1.2</w:t>
      </w:r>
    </w:p>
    <w:p>
      <w:r>
        <w:t>Die Beschwerde richtet sich gegen einen Endentscheid ( Art. 90 BGG ) eines oberen kantonalen Gerichts, welches als einzige kantonale Instanz im Sinne von Art. 7 ZPO in Verbindung mit Art. 75 Abs. 2 lit. a BGG entschieden hat. Die Beschwerde ist in diesem Fall streitwertunabhängig zulässig ( Art. 74 Abs. 2 lit. b BGG ; BGE 138 III 2 E. 1.2.2, 799 E. 1.1).</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2.3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3.1</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rPr>
          <w:b/>
        </w:rPr>
        <w:t>E. 3.2</w:t>
      </w:r>
    </w:p>
    <w:p>
      <w:r>
        <w:t>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(Urteile 4A_491/2023 vom 26. Februar 2024 E. 4.1; 4A_394/2021 vom 11. Januar 2022 E. 3.1, nicht publ. in: BGE 148 III 134 ; 4A_536/2020 vom 19. Januar 2021 E. 5.1; 4A_397/2018 vom 5. September 2019 E. 5.1; 4A_534/2018 vom 17. Januar 2019 E. 3.1; 4A_613/2017 vom 28. September 2018 E. 6.1.1; 4A_401/2017 vom 20. Dezember 2017 E. 6.2.2; 4A_286/2016 vom 29. August 2016 E. 5.1.2; je mit Hinweisen).</w:t>
      </w:r>
    </w:p>
    <w:p>
      <w:r>
        <w:t>Zusätzlich zu den objektiven Voraussetzungen von Art. 40 VVG muss als subjektives Element die Täuschungsabsicht hinzutreten, wonach der Anspruchsteller dem Versicherer mit Wissen und Willen unwahre Angaben macht, um einen Vermögensvorteil zu erlangen (zit. Urteile 4A_491/2023 E. 4.2; 4A_394/2021 E. 3.2, nicht publ. in: BGE 148 III 134 ; 4A_536/2020 E. 5.1; 4A_397/2018 E. 5.1; 4A_534/2018 E. 3.1; 4A_613/2017 E. 6.1.1; 4A_401/2017 E. 6.2.2; Urteile 4A_20/2018 vom 29. Mai 2018 E. 3.1; 4A_432/2015 vom 8. Februar 2016 E. 5.3). Täuschungsabsicht ist auch schon gegeben, wenn der Anspruchsteller um die falsche Willensbildung beim Versicherer weiss oder dessen Irrtum ausnützt, indem er über den wahren Sachverhalt schweigt oder absichtlich zu spät informiert (zit. Urteile 4A_491/2023 E. 4.2 4A_394/2021 E. 3.2, nicht publ. in: BGE 148 III 134 ; 4A_536/2020 E. 5.1; 4A_401/2017 E. 6.2.2; 4A_286/2016 E. 5.1.2; je mit Hinweisen).</w:t>
      </w:r>
    </w:p>
    <w:p>
      <w:r>
        <w:rPr>
          <w:b/>
        </w:rPr>
        <w:t>E. 3.3</w:t>
      </w:r>
    </w:p>
    <w:p>
      <w:r>
        <w:t>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 BGE 148 III 105 E. 3.3.1; 130 III 321 E. 3.1; zit. Urteil 4A_394/2021 E. 3.3, nicht publ. in: BGE 148 III 134 ), wie zum Beispiel die betrügerische Begründung des Versicherungsanspruchs nach Art. 40 VVG ( BGE 130 III 321 E. 3.1; Urteil 4A_490/2019 vom 26. Mai 2020 E. 5.10.1; zit. Urteile 4A_491/2023 E. 4.3; 4A_397/2018 E. 5.1; 4A_534/2018 E. 3.1; 4A_613/2017 E. 6.1.3). Anspruchsberechtigter und Versicherung haben im Streit um vertragliche Leistungen je ihr eigenes Beweisthema und hierfür je den Hauptbeweis zu erbringen. Dies trifft auch dann zu, wenn sich beide Beweisthemen im gleichen Verfahren gegenüberstehen ( BGE 148 III 105 E. 3.3.1; 130 III 321 E. 3.1; Urteil 4A_194/2016 vom 8. August 2016 E. 3.1).</w:t>
      </w:r>
    </w:p>
    <w:p>
      <w:r>
        <w:rPr>
          <w:b/>
        </w:rPr>
        <w:t>E. 4</w:t>
      </w:r>
    </w:p>
    <w:p>
      <w:r>
        <w:t>Die Vorinstanz prüfte, ob die Voraussetzungen von Art. 40 VVG erfüllt sind, die Beschwerdegegnerin per 1. September 2021 die Taggeldleistungen einstellen durfte und ob ihr für die zwischen Mai 2021 und August 2021 geleisteten Taggelder (110 Tage à Fr. 333.12, Fr. 36'643.20) sowie die Kosten für die Abklärungen von Fr. 2'881.75 ein Rückerstattungsanspruch zusteht.</w:t>
      </w:r>
    </w:p>
    <w:p>
      <w:r>
        <w:rPr>
          <w:b/>
        </w:rPr>
        <w:t>E. 4.1</w:t>
      </w:r>
    </w:p>
    <w:p>
      <w:r>
        <w:t>Die Vorinstanz stellte fest, dass gemäss Art. E 6.3 der Allgemeinen Versicherungsbedingungen (AVB) der Beschwerdegegnerin eine erkrankte versicherte Person während der Zeit eines Auslandaufenthaltes über keinen Anspruch auf Leistungen verfügt, sofern sie nicht vorgängig die ausdrückliche Zustimmung der Versicherung eingeholt hat. Die Beschwerdeführerin bestreite nicht, vom 14.-20. Mai 2021,</w:t>
      </w:r>
    </w:p>
    <w:p>
      <w:r>
        <w:t>3. -10. Juni 2021 und 17.-23. August 2021 ohne ausdrückliche Zustimmung der Beschwerdegegnerin sich im Ausland aufgehalten zu haben. Die Beschwerdegegnerin habe sich anlässlich eines Gesprächs am 17. November 2021 explizit nach Auslandaufenthalten erkundigt, woraufhin die Beschwerdeführerin bestätigt habe, einzig während der Zeit vom 17.-23. August 2021 im Ausland gewesen zu sein und ausdrücklich festgehalten habe, weitere Auslandaufenthalte hätte es nicht gegeben. Aus dem von der Beschwerdeführerin unterzeichneten Gesprächsprotokoll gehe hervor, dass sie über den Inhalt von Art. E6.3 AVB aufgeklärt worden sei, sie dies zur Kenntnis nahm und keine weiteren Auslandaufenthalte offenlegte. Es wäre der Beschwerdeführerin an dieser Stelle ohne weiteres möglich gewesen, weitere Auslandaufenthalte offenzulegen. Ihr sei im Anschluss an das Gespräch Gelegenheit geboten worden, das Protokoll durchzulesen und Ergänzungen anzubringen. Die Beschwerdegegnerin habe die Beschwerdeführerin mehr als zwei Monate nach der Besprechung hinsichtlich der Folgen der betrügerischen Begründung des Versicherungsanspruchs orientiert. Der Beschwerdeführerin wäre es auch möglich gewesen, sich in der Zwischenzeit an die weiteren Auslandaufenthalte zu erinnern und diese der Beschwerdegegnerin nach dem Gespräch zu melden, was sie unterlassen habe; sie habe erst acht Monate später in der Klageerhebung sämtliche Aufenthalte offengelegt.</w:t>
      </w:r>
    </w:p>
    <w:p>
      <w:r>
        <w:rPr>
          <w:b/>
        </w:rPr>
        <w:t>E. 4.2</w:t>
      </w:r>
    </w:p>
    <w:p>
      <w:r>
        <w:t>Gemäss der Vorinstanz seien es reine Schutzbehauptungen, wenn die Beschwerdeführerin vorbringe, sie habe nach Kenntnisnahme der Klausel sämtliche Auslandaufenthalte vollumfänglich offengelegt. Dies gelte auch für die Behauptung, sie sei nicht vorgängig auf die AVB-Klausel hingewiesen worden und habe keine Kenntnis der Klausel gehabt, zumal sie spätestens seit dem Gespräch vom 17. November 2021 über entsprechende Kenntnisse verfügt habe und die Auslandaufenthalte hätte offenlegen können. Gemäss der Vorinstanz sei es zum anderen auch unwahrscheinlich, dass der Beschwerdeführerin vor der Orientierung durch die Beschwerdegegnerin die entsprechende Klausel vollkommen unbekannt gewesen sei. Sie verweist dabei auf die Anstellung der Beschwerdeführerin als Versicherungsberaterin bei einer Arbeitgeberin, die auch kollektive Krankentaggeldversicherungen anbiete, und solche Klauseln auch andere Anbieter kennen würden. Hinzu komme, dass gemäss Angaben der ehemaligen Arbeitgeberin die Beschwerdeführerin hinsichtlich des Taggeldanspruchs aufgeklärt worden sei und die AVB in der Ausgabe 10.2018 erhalten habe.</w:t>
      </w:r>
    </w:p>
    <w:p>
      <w:r>
        <w:rPr>
          <w:b/>
        </w:rPr>
        <w:t>E. 4.3</w:t>
      </w:r>
    </w:p>
    <w:p>
      <w:r>
        <w:t>Die Vorinstanz schloss daraus, dass die Beschwerdeführerin in Verletzung von Art. E6.3 AVB im Mai, Juni und August 2021 ohne die vorgängige ausdrückliche Zustimmung der Beschwerdegegnerin im Ausland weilte, diese Aufenthalte verschwieg, um währenddessen Taggeldleistungen zu erhalten. Das Verschweigen der Auslandaufenthalte, welche zu einem Unterbruch der Taggeldleistung geführt hätten, seien objektiv geeignet, die Leistungspflicht der Beschwerdegegnerin zu beeinflussen. Der objektive Tatbestand von Art. 40 VVG sei somit erfüllt. Der Tatbestand sei überdies auch dadurch erfüllt, dass die Beschwerdeführerin auf Nachfrage einzig einen der drei relevanten Auslandaufenthalte offengelegt und damit gegen die Obliegenheit von Art. 39 VVG verstossen habe.</w:t>
      </w:r>
    </w:p>
    <w:p>
      <w:r>
        <w:rPr>
          <w:b/>
        </w:rPr>
        <w:t>E. 4.4</w:t>
      </w:r>
    </w:p>
    <w:p>
      <w:r>
        <w:t>In subjektiver Hinsicht erwog die Vorinstanz zum Motiv des Verschweigens, es sei überwiegend wahrscheinlich, dass die Beschwerdeführerin die Rückzahlung der von ihr während der Auslandaufenthalte zu Unrecht bezogenen Taggeldleistungen zu vermeiden beabsichtige. Es sei nicht nachvollziehbar, aus welchen anderen Gründen sie nach expliziter Nachfrage im Rahmen des Gesprächs vom 17. November 2021 einen ersten Auslandaufenthalt noch offengelegt, nach der Orientierung über die Klausel die weiteren Aufenthalte aber verschwiegen habe. Selbst wenn es der Beschwerdeführerin tatsächlich nicht möglich gewesen sei, sich anlässlich des Gesprächs im November 2021 zu erinnern, so hätte sie - sofern der Wille zur Offenlegung der Aufenthalte wirklich bestanden hätte - bis zum Schreiben der Beschwerdegegnerin am 25. Januar 2022 mehr als zwei Monate Zeit gehabt, sich zu erinnern. Es überzeuge nicht, dass sie sich erst acht Monate später zu erinnern vermochte. All diese Indizien liessen gemäss Vorinstanz den Schluss zu, dass bei der Beschwerdeführerin eine Täuschungsabsicht bestanden und sie mit Wissen und Willen die Auslandaufenthalte gegenüber der Beschwerdegegnerin verschwiegen habe, um die Rückzahlung der zu Unrecht bezogenen Taggeldleistungen zu vermeiden.</w:t>
      </w:r>
    </w:p>
    <w:p>
      <w:r>
        <w:rPr>
          <w:b/>
        </w:rPr>
        <w:t>E. 5.1</w:t>
      </w:r>
    </w:p>
    <w:p>
      <w:r>
        <w:t>Die Beschwerdeführerin rügt, die vorinstanzliche Urteilsbegründung sei widersprüchlich und verletze ihren Anspruch auf eine sachgerechte Begründung.</w:t>
      </w:r>
    </w:p>
    <w:p>
      <w:r>
        <w:rPr>
          <w:b/>
        </w:rPr>
        <w:t>E. 5.1.1</w:t>
      </w:r>
    </w:p>
    <w:p>
      <w:r>
        <w:t>Der Anspruch auf rechtliches Gehör nach Art. 29 Abs. 2 BV verlangt, dass das Gericht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5.1.2</w:t>
      </w:r>
    </w:p>
    <w:p>
      <w:r>
        <w:t>Das angefochtene Urteil genügt diesen Anforderungen. Die Vorinstanz hat darin klar zum Ausdruck gebracht, warum sie die Voraussetzungen von Art. 40 VVG objektiv wie subjektiv als erfüllt erachtet. Die Begründung enthält entgegen der Beschwerdeführerin keine "alternative Sachverhaltsmöglichkeiten", was den Zeitpunkt der Kenntnis der AVB-Bestimmung betrifft. Im Gegenteil setzt sich die Vorinstanz mit dem Parteistandpunkt der Beschwerdeführerin ausführlich auseinander. Sie verwirft die Behauptungen der Beschwerdeführerin zu ihrer Kenntnis der AVB und nennt mehrere Gründe, welche die Unglaubwürdigkeit ihrer Aussagen verdeutlichen. Die Begründung ist somit nicht widersprüchlich, sondern geht auf die behaupteten Eventualitäten ein, was auch bereits sprachlich klar zum Ausdruck kommt. Der Einwand, die Beschwerdeführerin wisse nicht, auf welche der beiden Möglichkeiten sie sich bei der Ergreifung des Rechtsmittels einzustellen habe, verfängt offensichtlich nicht. Dass das angefochtene Urteil in der Würdigung auf mehreren Argumenten beruht, stellt zwar höhere Anforderungen an eine Willkürrüge, verunmöglicht aber eine entsprechend substanziierte Anfechtung selbstredend nicht und lässt sich nicht mit Verweis auf die Begründungspflicht der Vorinstanz umgehen.</w:t>
      </w:r>
    </w:p>
    <w:p>
      <w:r>
        <w:rPr>
          <w:b/>
        </w:rPr>
        <w:t>E. 5.2</w:t>
      </w:r>
    </w:p>
    <w:p>
      <w:r>
        <w:t>Die Beschwerdeführerin rügt eine offensichtlich unrichtige Sachverhaltsfeststellung.</w:t>
      </w:r>
    </w:p>
    <w:p>
      <w:r>
        <w:rPr>
          <w:b/>
        </w:rPr>
        <w:t>E. 5.2.1</w:t>
      </w:r>
    </w:p>
    <w:p>
      <w:r>
        <w:t>Sie bringt vor, hinsichtlich der Feststellung, die Beschwerdeführerin habe die fragliche Vertragsklausel bereits vor der Besprechung vom 17. November 2021 gekannt, stütze sich die Vorinstanz auf die Internetseite ihrer ehemaligen Arbeitgeberin sowie auf eine Telefonnotiz, die von einer Mitarbeiterin der Beschwerdegegnerin stammt. Beides seien keine gemäss Art. 168 Abs. 1 i.V.m. Art. 177 ZPO zulässigen Beweismittel. Zudem verletze die Vorinstanz Art. 8 ZGB . Sie könne aus dem Umstand, dass die Beschwerdeführerin bei der Arbeitgeberin angestellt war, nicht willkürfrei ableiten, sie habe die betreffende Klausel gekannt.</w:t>
      </w:r>
    </w:p>
    <w:p>
      <w:r>
        <w:rPr>
          <w:b/>
        </w:rPr>
        <w:t>E. 5.2.2</w:t>
      </w:r>
    </w:p>
    <w:p>
      <w:r>
        <w:t>Ihre Vorbringen verfehlen die Anforderungen an eine Sachverhaltsrüge, unterlässt sie es doch, substanziiert aufzuzeigen, inwiefern die Voraussetzungen von Art. 97 Abs. 1 BGG erfüllt sind. Sie stellt der Beweiswürdigung der Vorinstanz bloss ihren eigenen Standpunkt gegenüber, dass sie bis zur Besprechung vom 17. November 2021 keine Kenntnis der AVB-Bestimmung hatte. Sie übergeht dabei aber, dass gemäss Vorinstanz auch die ehemalige Arbeitgeberin angegeben habe, die Beschwerdeführerin hinsichtlich Taggeldanspruch aufgeklärt zu haben und ihr die AVB übergeben zu haben. Auch hinsichtlich ihrer Position als Versicherungsberaterin hält die Beschwerdeführerin dem angefochtenen Urteil einzig pauschal entgegen, daraus könne nicht willkürfrei die Kenntnis der betreffenden Klausel abgeleitet werden. Mit diesen Vorbringen vermag die Beschwerdeführerin indes nicht aufzuzeigen, inwiefern die Vorinstanz im Ergebnis offensichtlich unhaltbar erwogen haben soll, die Beschwerdeführerin hätte mit Täuschungsabsicht die Auslandaufenthalte verschwiegen.</w:t>
      </w:r>
    </w:p>
    <w:p>
      <w:r>
        <w:rPr>
          <w:b/>
        </w:rPr>
        <w:t>E. 5.3.1</w:t>
      </w:r>
    </w:p>
    <w:p>
      <w:r>
        <w:t>Die Beschwerdeführerin trägt vor, es spiele eine wesentliche Rolle, dass sie den einen Auslandaufenthalt im August 2021 von sich aus offengelegt habe. Sie habe nach der Aufklärung über Art. E6.3 AVB davon ausgehen dürfen und müssen, dass der Tatbestand von Art. 40 VVG aus Sicht der Beschwerdegegnerin ohnehin erfüllt sein würde. Es habe aus Sicht der Beschwerdeführerin somit gar keine Rolle mehr gespielt, ob sie die weiteren Auslandaufenthalte ebenfalls noch angab oder nicht. Die Beschwerdegegnerin wäre ohnehin nicht bereit gewesen, weitere Taggelder zu leisten. Mithin sei das Verschweigen der weiteren Auslandaufenthalte während des Taggeldbezugs aus Sicht der Beschwerdeführerin nicht mehr kausal für die Beurteilung der Leistungspflicht durch die Beschwerdegegnerin, da diese ohnehin keine Taggeldleistungen mehr habe übernehmen und eine Verletzung von Art. E6.3 AVB bereits durch die Angabe des einen Auslandaufenthaltes zumindest objektiv erfüllt gewesen sei. Sie habe nicht davon ausgehen können, dass sie mit dem "einstweiligen" Verschweigen der weiteren Auslandaufenthalte die Leistungsbereitschaft der Beschwerdegegnerin überhaupt noch hätte beeinflussen können. Es mangle am Kausalzusammenhang zwischen dem Verschweigen der weiteren Auslandaufenthalte durch die Beschwerdeführerin und dem Leistungswillen der Beschwerdegegnerin.</w:t>
      </w:r>
    </w:p>
    <w:p>
      <w:r>
        <w:rPr>
          <w:b/>
        </w:rPr>
        <w:t>E. 5.3.2</w:t>
      </w:r>
    </w:p>
    <w:p>
      <w:r>
        <w:t>Diese Vorbringen sind ein unbehelflicher Versuch, ihre Unterlassung zu rechtfertigen. Sie zielen an den Erwägungen der Vorinstanz vorbei. Danach bestand die vorgeworfene Täuschung im Verschweigen der Auslandaufenthalte. Dieses Verschweigen zielte gemäss der Feststellung der Vorinstanz darauf ab, die Rückzahlung der während der Aufenthalte gemäss AVB zu Unrecht bezogenen Taggeldleistung zu verhindern. Gemäss Vorinstanz war das Verschweigen somit hypothetisch kausal zur Unterbrechung der Taggeldleistung während der Aufenthalte sowie zur Geltendmachung eines Rückforderungsanspruchs dieser Leistungen nach den Aufenthalten. Der bei der Beschwerdegegnerin hervorgerufene Irrtum bezieht sich auf die Leistungspflicht während den Auslandaufenthalten, und nicht auf die zukünftige Leistungspflicht. Die Beschwerdeführerin stellt mit ihren Vorbringen somit einen Kausalzusammenhang zwischen dem Verschweigen von zwei Aufenthalten und den zukünftigen Taggeldleistungen in Frage, auf den es gar nicht ankommt. Die Vorbringen sind insofern untauglich, weder die Beurteilung der objektiven Täuschungshandlung noch der Täuschungsabsicht der Beschwerdeführerin überhaupt in Zweifel zu ziehen, geschweige denn, diese als willkürlich auszuweisen. Zudem stehen die Vorbringen auch in einem unauflösbaren Widerspruch zu den Feststellungen der Vorinstanz, dass die Beschwerdegegnerin der Beschwerdeführerin bereits im Juni 2021 mitgeteilt hat, gestützt auf eine fachärztliche Untersuchung, die Taggeldleistungen per September 2021 einzustellen.</w:t>
      </w:r>
    </w:p>
    <w:p>
      <w:r>
        <w:rPr>
          <w:b/>
        </w:rPr>
        <w:t>E. 5.4</w:t>
      </w:r>
    </w:p>
    <w:p>
      <w:r>
        <w:t>Es hält einer bundesgerichtlichen Überprüfung stand, dass die Vorinstanz die Voraussetzungen einer betrügerischen Begründung des Versicherungsanspruchs nach Art. 40 VVG als erfüllt erachtete und daraus folgerte, der von der Beschwerdegegnerin erklärte Rücktritt bewirke das Dahinfallen des Vertrages und begründe ein Rückforderungsrecht nach den Grundsätzen der ungerechtfertigten Bereicherung. Damit hat die Vorinstanz auch folgerichtig die Widerklage der Beschwerdegegnerin gutgeheissen und die Klage der Beschwerdeführerin abgewiesen, da keine Leistungspflicht der Beschwerdegegnerin besteht.</w:t>
      </w:r>
    </w:p>
    <w:p>
      <w:r>
        <w:rPr>
          <w:b/>
        </w:rPr>
        <w:t>E. 6</w:t>
      </w:r>
    </w:p>
    <w:p>
      <w:r>
        <w:t>Nach dem Gesagten ist die Beschwerde abzuweisen, soweit auf sie eingetreten werden kann. Bei diesem Ausgang des Verfahrens wird die Beschwerdeführerin kostenpflichtig ( Art. 66 Abs. 1 BGG ), wobei die Gerichtskosten wegen des geringeren Aufwandes reduziert werden.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