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470/2021 vom 18. November 2021</w:t>
      </w:r>
    </w:p>
    <w:p>
      <w:r>
        <w:t>Bundesgericht, 2021-11-18, FR</w:t>
      </w:r>
    </w:p>
    <w:p>
      <w:r>
        <w:rPr>
          <w:b/>
        </w:rPr>
        <w:t xml:space="preserve">Quelle: </w:t>
      </w:r>
      <w:r>
        <w:t>https://mcp.opencaselaw.ch/entscheid/bger_4A_470_2021</w:t>
      </w:r>
    </w:p>
    <w:p>
      <w:r>
        <w:t>FR: TF 4A 470/2021 du 18 novembre 2021</w:t>
      </w:r>
    </w:p>
    <w:p>
      <w:r>
        <w:t>IT: TF 4A 470/2021 del 18 novembre 2021</w:t>
      </w:r>
    </w:p>
    <w:p>
      <w:pPr>
        <w:pStyle w:val="Heading2"/>
      </w:pPr>
      <w:r>
        <w:t>Regeste</w:t>
      </w:r>
    </w:p>
    <w:p>
      <w:r>
        <w:t>compétence à raison du lieu; intérêt digne de protection, | Droit des contrats</w:t>
      </w:r>
    </w:p>
    <w:p>
      <w:pPr>
        <w:pStyle w:val="Heading2"/>
      </w:pPr>
      <w:r>
        <w:t>Erwägungen</w:t>
      </w:r>
    </w:p>
    <w:p>
      <w:r>
        <w:rPr>
          <w:b/>
        </w:rPr>
        <w:t>E. 1</w:t>
      </w:r>
    </w:p>
    <w:p>
      <w:r>
        <w:t>Qu'il s'agisse de l'objet du recours, du délai de recours, des conclusions prises par la recourante ou encore des motifs de recours invoqués, aucune de ces conditions de recevabilité ne fait problème en l'espèce. L'existence d'un intérêt digne de protection au sens de l' art. 76 al. 1 let. b LTF est en revanche moins évidente. Selon la disposition précitée, la partie recourante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En l'occurrence, il faut bien voir que la recourante, si elle a certes formellement succombé devant la cour cantonale, c'est parce qu'elle avait obtenu entièrement gain de cause devant l'autorité de première instance. Cela étant, le point de savoir si la recourante a qualité pour recourir au Tribunal fédéral peut souffrir de demeurer indécis, dès lors que le recours doit de toute manière être rejeté.</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3</w:t>
      </w:r>
    </w:p>
    <w:p>
      <w:r>
        <w:t>Dans l'arrêt attaqué, la cour cantonale souligne que l'appelante doit avoir été lésée par la décision qu'elle conteste. Elle relève que la défenderesse et recourante a invité le juge de première instance à prononcer l'irrecevabilité de la demande en raison de l'existence d'une clause de prorogation de for en faveur d'un autre tribunal. Faute pour l'appelante d'avoir été formellement ou matériellement lésée, la juridiction précédente considère que l'appel est irrecevable. Dans une motivation subsidiaire, la cour cantonale estime que l'appel doit de toute manière être rejeté. Elle souligne que la clause de prorogation de for constitue normalement une convention de procédure distincte et indépendante de l'ensemble du contrat qui l'inclut; elle s'applique donc même si l'une ou l'autre des parties n'est pas liée par le contrat principal. Elle rappelle en outre que la théorie des faits de double pertinence ne s'applique pas lorsqu'un fait litigieux concerne exclusivement la validité d'une clause de prorogation de for. La juridiction cantonale considère que ladite clause, qui ressortait des titres disponibles, invoqués comme moyens de preuve et joints à la demande, était propre à fonder la décision d'incompétence prononcée d'entrée en cause. Elle retient que la recourante a certes été privée de son droit de s'exprimer sur la détermination de son adverse partie du 30 juillet 2020 puisque cette écriture lui a été notifiée le même jour que le prononcé querellé. La violation du droit d'être entendu de la recourante n'a toutefois pas exercé d'incidence sur l'issue de la procédure. L'autorité précédente souligne en effet que le premier juge n'a pas procédé à l'administration de preuves mais a décliné sa compétence d'entrée de cause. L'autorité de première instance ne s'est ainsi pas prononcée sur la validité du contrat litigieux mais n'a, en réalité, pas exclu, au stade de l'examen de sa compétence, l'existence d'un tel accord.</w:t>
      </w:r>
    </w:p>
    <w:p>
      <w:r>
        <w:rPr>
          <w:b/>
        </w:rPr>
        <w:t>E. 4</w:t>
      </w:r>
    </w:p>
    <w:p>
      <w:r>
        <w:t>Dans ses écritures, la recourante s'en prend tant à la motivation principale qu'à la motivation subsidiaire de la décision attaquée.</w:t>
      </w:r>
    </w:p>
    <w:p>
      <w:r>
        <w:rPr>
          <w:b/>
        </w:rPr>
        <w:t>E. 4.1</w:t>
      </w:r>
    </w:p>
    <w:p>
      <w:r>
        <w:t>Critiquant la motivation principale de la décision entreprise, l'intéressée reproche à la cour cantonale d'avoir considéré que son appel était irrecevable, faute d'un intérêt digne de protection à l'admission de celui-ci.</w:t>
      </w:r>
    </w:p>
    <w:p>
      <w:r>
        <w:rPr>
          <w:b/>
        </w:rPr>
        <w:t>E. 4.2</w:t>
      </w:r>
    </w:p>
    <w:p>
      <w:r>
        <w:t>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5D_14/2020 du 28 octobre 2020 consid. 4.3.1 et les références citées). Selon la jurisprudence, le droit à la protection judiciaire étatique présuppose en principe que l'intéressé soit lésé ( Beschwer ),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 ATF 120 II 5 ; FRANÇOISE BASTONS-BULLETTI, in Petit commentaire CPC, 2021, n° 14 ad Intro art. 308-318 CPC ; KARL SPÜHLER, in Basler Kommentar, Schweizerische Zivilprozessordnung, 3e éd. 2017, n° 12 ad Vorbermerkungen Art. 308-334 CPC ; ALEXANDER ZÜRCHER, in Schweizerische Zivilprozessordnung [ZPO], Kommentar, Brunner et al. [éd.], 2e éd. 2016, n° 14 ad art. 59 CPC ; STAEHELIN/BACHOFNER, in Zivilprozessrecht, Staehelin et al. [éd.], 3e éd. 2019, § 25 n. 28 s.; KURT BLICKENSTORFER, in Kommentar zur Schweizerischen Zivilprozessordnung [ZPO], Thomas Sutter-Somm et al. [éd.], 3e éd. 2016, n°s 95 s. ad Vorbermerkungen Art. 308-334 CPC ).</w:t>
      </w:r>
    </w:p>
    <w:p>
      <w:r>
        <w:rPr>
          <w:b/>
        </w:rPr>
        <w:t>E. 4.3</w:t>
      </w:r>
    </w:p>
    <w:p>
      <w:r>
        <w:t>En l'espèce, la cour cantonale a reconnu à bon droit que la recourante ne disposait d'aucun intérêt digne de protection à l'annulation ou à la modification de la décision de première instance. Force est en effet de relever que l'intéressée avait obtenu entièrement gain de cause devant le premier juge. Dans son écriture du 30 juin 2020, la recourante avait requis la limitation de la procédure à la question de la compétence et conclu, à titre principal, à l'irrecevabilité de la demande en paiement. Statuant le 4 août 2020, le juge de première instance a fait intégralement droit à la requête déposée par la recourante. Aussi celle-ci n'avait-elle manifestement aucun intérêt digne de protection à contester une décision lui ayant donné entièrement raison. La solution retenue par la cour cantonale ne prête ainsi pas le flanc à la critique. Il sied en outre de souligner que l'autorité cantonale, saisie d'une requête tendant à ce qu'elle prononce l'irrecevabilité de la demande faute de compétence ratione loci , ne pouvait pas, en vertu de la maxime de disposition ( art. 58 al. 1 CPC ), aller au-delà des conclusions prises par la recourante dans ladite requête. On relèvera, par ailleurs, que l'affirmation de la recourante selon laquelle elle aurait sollicité la mise en oeuvre d'une procédure probatoire et conclu au rejet de la demande en paiement si elle avait eu connaissance de la détermination de son adverse partie du 30 juillet 2020 relève de la pure conjecture et n'apparaît, en tout état de cause, guère crédible. Contrairement à ce que prétend en outre la recourante, la juridiction cantonale n'a pas nié la recevabilité de l'appel au motif qu'elle avait adopté une attitude contradictoire. Elle a simplement relevé que le comportement de l'intéressée était empreint de mauvaise foi, puisque, devant le premier juge, elle avait conclu à l'irrecevabilité de la demande avant de faire volte-face, au stade de la procédure d'appel, en concluant au rejet de l'action. Quoi qu'il en soit, que l'attitude adoptée par la recourante puisse être taxée ou non d'abusive ne change rien au fait que celle-ci ne disposait manifestement d'aucun intérêt digne de protection à l'admission de son appel. La recourante reproche aussi, manifestement à tort, à l'autorité précédente de s'être rendue coupable d'un déni de justice formel. Quoi qu'en dise la recourante, la cour cantonale a bel et bien examiné si celle-ci disposait d'un intérêt digne de protection à l'admission de son appel, ce qu'elle a précisément nié. Le grief est dès lors infondé. C'est également en vain que la recourante se plaint de ce que la décision entreprise ne répondrait pas aux exigences minimales de motivation. Pour satisfaire à ces exigences, il suffit que l'autorité mentionne, au moins brièvement, les motifs qui l'ont guidée et sur lesquels elle a fondé son raisonnement. Le tribunal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 En l'occurrence, la lecture de la décision attaquée permet de discerner aisément les éléments qui ont guidé la cour cantonale vers le résultat auquel elle a abouti. Les griefs adressés à la motivation principale de l'arrêt attaqué étant mal fondés, il n'est pas nécessaire de se prononcer sur les mérites des critiques de la recourante visant le raisonnement subsidiaire développé par les juges cantonaux.</w:t>
      </w:r>
    </w:p>
    <w:p>
      <w:r>
        <w:rPr>
          <w:b/>
        </w:rPr>
        <w:t>E. 5</w:t>
      </w:r>
    </w:p>
    <w:p>
      <w:r>
        <w:t>Sur le vu de ce qui précède, le recours doit être rejeté dans la mesure de sa recevabilité, ce qui rend sans objet la requête d'effet suspensif. La recourante, qui succombe, devra payer les frais de la procédure fédérale ( art. 66 al. 1 LTF ) et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