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4A_470/2017 vom 14. Juni 2018</w:t>
      </w:r>
    </w:p>
    <w:p>
      <w:r>
        <w:t>Bundesgericht, 2018-06-14, FR</w:t>
      </w:r>
    </w:p>
    <w:p>
      <w:r>
        <w:rPr>
          <w:b/>
        </w:rPr>
        <w:t xml:space="preserve">Quelle: </w:t>
      </w:r>
      <w:r>
        <w:t>https://mcp.opencaselaw.ch/entscheid/bger_4A_470_2017</w:t>
      </w:r>
    </w:p>
    <w:p>
      <w:r>
        <w:t>FR: TF 4A_470/2017 du 14 juin 2018</w:t>
      </w:r>
    </w:p>
    <w:p>
      <w:r>
        <w:t>IT: TF 4A_470/2017 del 14 giugno 2018</w:t>
      </w:r>
    </w:p>
    <w:p>
      <w:pPr>
        <w:pStyle w:val="Heading2"/>
      </w:pPr>
      <w:r>
        <w:t>Erwägungen</w:t>
      </w:r>
    </w:p>
    <w:p>
      <w:r>
        <w:rPr>
          <w:b/>
        </w:rPr>
        <w:t>E. 1.1</w:t>
      </w:r>
    </w:p>
    <w:p>
      <w:r>
        <w:t>Interjeté par le demandeur qui a succombé partiellement dans ses conclusions en paiement et dirigé contre un jugement final ( art. 90 LTF ) rendu en matière civile ( art. 72 al. 1 LTF ) par un tribunal supérieur du canton statuant sur arrêt de renvoi (cf. art. 75 LTF ) dans une affaire pécuniaire dont la valeur litigieuse atteint le seuil de 30'000 fr. ( art. 74 al. 1 let. b LTF ), le recours est recevable, puisqu'il a été déposé dans le délai (art. 45 al. 1, 48 al. 1 et 100 al. 1 LTF) et la forme ( art. 42 LTF ) prévus par la loi.</w:t>
      </w:r>
    </w:p>
    <w:p>
      <w:r>
        <w:rPr>
          <w:b/>
        </w:rPr>
        <w:t>E. 1.2</w:t>
      </w:r>
    </w:p>
    <w:p>
      <w:r>
        <w:t>Le Tribunal fédéral statue sur la base des faits établis par l'autorité précédente ( art. 105 al. 1 LTF ). Il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Le Tribunal fédéral applique d'office le droit ( art. 106 al. 1 LTF ) à l'état de fait constaté dans le jugement cantonal. Il n'est pas limité par les arguments soulevés dans le recours ni par la motivation retenue par l'autorité précédente; il peut donc admettre un recours pour d'autres motifs que ceux qui ont été articulés ou, à l'inverse, rejeter un recours en procédant à une substitution de motifs ( ATF 135 III 397 consid. 1.4 et l'arrêt cité).</w:t>
      </w:r>
    </w:p>
    <w:p>
      <w:r>
        <w:rPr>
          <w:b/>
        </w:rPr>
        <w:t>E. 2.1</w:t>
      </w:r>
    </w:p>
    <w:p>
      <w:r>
        <w:t>S'agissant du dommage prétendument causé par l'absence (partielle) d'apports à la nouvelle société C.________ SA (seul poste encore litigieux), le raisonnement des juges précédents est ambigu, puisqu'ils dévoilent leur intention de rechercher, dans la perspective de l' art. 754 al. 1 CO , le dommage causé par l'administrateur, puis, après l'avoir chiffré à 18'588 fr.65 et constaté qu'il correspond au montant de la créance (qui résulte des comptes) de la société envers l'actionnaire, ils finissent par conclure que l'actionnaire ne saurait, sous peine de verser deux fois le même montant, être appelé à payer cette somme en application de l' art. 754 al. 1 CO (arrêt entrepris consid. 5.2 3e par. p. 10).</w:t>
      </w:r>
    </w:p>
    <w:p>
      <w:r>
        <w:t>On comprend néanmoins que le constat à l'origine de cette conclusion est que le montant du dommage correspond en réalité au solde de la dette de l'actionnaire vis-à-vis de la société, qui, selon les comptes tenus par celle-ci, se monte encore à 18'588 fr.65.</w:t>
      </w:r>
    </w:p>
    <w:p>
      <w:r>
        <w:rPr>
          <w:b/>
        </w:rPr>
        <w:t>E. 2.3</w:t>
      </w:r>
    </w:p>
    <w:p>
      <w:r>
        <w:t>Sur la base de ce (nouveau) constat, il s'impose de revenir sur la portée de la cession décidée par l'administration de la masse en faillite (cf. art. 240 et 260 LP ) portant sur la créance de 18'588 fr.65 à l'encontre de M. Z.________ (ci-après: la première cession). Concrètement, il s'agit d'examiner si, dans l'intention de l'administration de la masse, la créance de 18'588 fr.65 et le dommage consécutif à l'absence de libération du capital (calculé en fonction de la dette initiale de l'actionnaire et des divers versements opérés au fil du temps) ne faisaient qu'un (auquel cas, la prétention du demandeur devra être d'emblée rejetée, le litige portant sur la créance objet de la première cession ayant été définitivement tranché dans l'arrêt de renvoi) ou si, au contraire, l'administration de la masse avait distingué les deux prétentions (auquel cas, la prétention découlant de l'absence de libération du capital pourrait être examinée dans le cadre de l'action en responsabilité, visée par la deuxième cession).</w:t>
      </w:r>
    </w:p>
    <w:p>
      <w:r>
        <w:rPr>
          <w:b/>
        </w:rPr>
        <w:t>E. 2.3.1</w:t>
      </w:r>
    </w:p>
    <w:p>
      <w:r>
        <w:t>Le sens (et donc la portée) d'une cession, qui est destinée à l'ensemble des créanciers, doit être déterminé sur la base d'une interprétation objective (arrêt 5C.148/2004 du 5 janvier 2005 consid. 2.1). Si cette question relève du droit, il faut toutefois, pour la trancher, se fonder sur le contenu des actes de cession et sur les circonstances concrètes retenues par les juges cantonaux (cf. arrêt 4A_290/2017 du 12 mars 2018 consid. 5.1).</w:t>
      </w:r>
    </w:p>
    <w:p>
      <w:r>
        <w:t>En l'occurrence, l'historique de la créance de 18'588 fr.65 de la société à l'encontre de l'actionnaire (objet de la première cession) peut être reconstitué puisque la cession a été précédée d'une circulaire, datée du 6 août 2008, envoyé aux créanciers cessionnaires. Dans ce document, l'office des faillites (pour la masse en faillite; cf. art. 240 LP ) explique que le montant de la créance consiste en la différence entre deux postes au bilan de la société à l'ouverture de la faillite, soit le poste " Créancier Z.________ " sur lequel figure une somme de 49'266 fr.50 et celui intitulé " Compte-courant actionnaire " portant sur un montant de 67'855 fr.15, ce dernier chiffre totalisant l'ensemble des dettes de l'actionnaire vis-à-vis de la société, y compris sa dette d'apport (cf. supra let. A.a à A.c); à cet égard, le fait que certaines dettes pourraient ne pas être inscrites correctement (i.e dans les postes adéquats) au passif du bilan n'est, dans l'examen qu'il convient d'effectuer ici, pas déterminant. Il résulte également de la circulaire de l'office des faillites que l'actionnaire, qui a été interpellé à ce sujet, avait d'ores et déjà invoqué " la compensation en contestant devoir</w:t>
      </w:r>
    </w:p>
    <w:p>
      <w:r>
        <w:t>un quelconque montant à la société [faillie] " (circulaire de l'office des faillites p. 2; complètement d'office au sens de l' art. 105 al. 2 LTF ; soulignage ajouté).</w:t>
      </w:r>
    </w:p>
    <w:p>
      <w:r>
        <w:t>Le premier acte de cession notifié par l'office des faillites doit donc être compris (objectivement) en ce sens qu'il englobe toutes les dettes et les créances de l'actionnaire résultant des comptes de la société faillie, donc également la dette d'apport de l'actionnaire. Cela étant, la question du dommage résultant de l'absence de libération du capital, que la cour cantonale a tranché en examinant les créances évoquées de part et d'autre, était couverte par l'objet de la première cession, interprété objectivement.</w:t>
      </w:r>
    </w:p>
    <w:p>
      <w:r>
        <w:t>En vertu du principe de l'autorité de l'arrêt de renvoi, la cour cantonale, après avoir constaté l'identité des prétentions (cf. supra consid. 2.1), ne pouvait dès lors revenir sur une question qui avait déjà été tranchée par le Tribunal fédéral. On peut donc confirmer le résultat auquel est parvenu l'autorité cantonale, par substitution de motifs.</w:t>
      </w:r>
    </w:p>
    <w:p>
      <w:r>
        <w:t>Les moyens soulevés par le recourant à cet égard sont dès lors infondés.</w:t>
      </w:r>
    </w:p>
    <w:p>
      <w:r>
        <w:t>S'agissant du surendettement (deuxième cession), la question a également été tranchée dans l'arrêt de renvoi, et il n'y a pas lieu d'y revenir.</w:t>
      </w:r>
    </w:p>
    <w:p>
      <w:r>
        <w:rPr>
          <w:b/>
        </w:rPr>
        <w:t>E. 3</w:t>
      </w:r>
    </w:p>
    <w:p>
      <w:r>
        <w:t>Il résulte des considérations qui précèdent que le recours en matière civile du demandeur doit être rejeté.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