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4A_46/2022 vom 2. März 2022</w:t>
      </w:r>
    </w:p>
    <w:p>
      <w:r>
        <w:t>Bundesgericht, 2022-03-02, DE</w:t>
      </w:r>
    </w:p>
    <w:p>
      <w:r>
        <w:rPr>
          <w:b/>
        </w:rPr>
        <w:t xml:space="preserve">Quelle: </w:t>
      </w:r>
      <w:r>
        <w:t>https://mcp.opencaselaw.ch/entscheid/bger_4A_46_2022</w:t>
      </w:r>
    </w:p>
    <w:p>
      <w:r>
        <w:t>FR: TF 4A_46/2022 du 2 mars 2022</w:t>
      </w:r>
    </w:p>
    <w:p>
      <w:r>
        <w:t>IT: TF 4A_46/2022 del 2 marzo 2022</w:t>
      </w:r>
    </w:p>
    <w:p>
      <w:pPr>
        <w:pStyle w:val="Heading2"/>
      </w:pPr>
      <w:r>
        <w:t>Erwägungen</w:t>
      </w:r>
    </w:p>
    <w:p>
      <w:r>
        <w:rPr>
          <w:b/>
        </w:rPr>
        <w:t>E. 1.1</w:t>
      </w:r>
    </w:p>
    <w:p>
      <w:r>
        <w:t>Soweit der Beschwerdeführer die Aufhebung des</w:t>
      </w:r>
    </w:p>
    <w:p>
      <w:r>
        <w:t>Beschlusses des Obergerichts des Kantons Zürich vom 8. Dezember 2021 verlangt, ist von vornherein nicht auf die Beschwerde einzutreten, da in der Beschwerde jegliche Begründung hierzu fehlt. Ohnehin mangelt es dem Beschwerdeführer diesbezüglich auch an der Beschwer und damit am Rechtsschutzinteresse.</w:t>
      </w:r>
    </w:p>
    <w:p>
      <w:r>
        <w:rPr>
          <w:b/>
        </w:rPr>
        <w:t>E. 1.2</w:t>
      </w:r>
    </w:p>
    <w:p>
      <w:r>
        <w:t>Soweit sich die Beschwerde gegen das</w:t>
      </w:r>
    </w:p>
    <w:p>
      <w:r>
        <w:t>Urteil des Obergerichts des Kantons Zürich vom 8. Dezember 2021 richtet, sind die Sachurteilsvoraussetzungen, namentlich der Streitwert ( Art. 74 Abs. 1 lit. b BGG ), erfüllt, weshalb grundsätzlich darauf einzutreten ist, allerdings unter Vorbehalt einer rechtsgenüglichen Begründung ( Art. 42 Abs. 2 und Art. 106 Abs. 2 BGG ). An einer solchen fehlt es über weite Strecken, wie nachstehend zu zeigen sein wird (Erwägung 3).</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Neue Tatsachen und Beweismittel dürfen nur so weit vorgebracht werden, als erst der Entscheid der Vorinstanz dazu Anlass gibt ( Art. 99 Abs. 1 BGG ).</w:t>
      </w:r>
    </w:p>
    <w:p>
      <w:r>
        <w:t>Die Partei, welche die Sachverhaltsfeststellung der Vorinstanz anfechten will, muss klar und substantiiert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3.1</w:t>
      </w:r>
    </w:p>
    <w:p>
      <w:r>
        <w:t>Der Beschwerdeführer verkennt diese Begründungsanforderungen über weite Strecken. Unter Vermengung von Sachverhalts- und Rechtsfragen wirft er der Vorinstanz vor, Art. 1 und 2 OR verletzt zu haben. Seiner Ansicht nach hätte sie unter Würdigung sämtlicher Umstände zum Schluss kommen müssen, dass ein Vertrag geschlossen und alle wesentlichen Punkte besprochen worden seien. Die Vorinstanz habe ohne überzeugende Erklärung alle vom Beschwerdeführer eingebrachten Elemente ignoriert, welche die Umstände zum Vertragsschluss und zum Vertragsinhalt erklärten. Er präsentiert dem Bundesgericht erneut diese Umstände, wie er sie in seiner Berufung dargelegt hatte.</w:t>
      </w:r>
    </w:p>
    <w:p>
      <w:r>
        <w:t>Damit übersieht er, dass es für eine Sachverhaltsergänzung nicht genügt, bloss zu wiederholen, was in den kantonalen Rechtsschriften vorgebracht wurde. Die Vorinstanz ist auf die Sachverhaltsdarstellung des Beschwerdeführers in der Berufungsschrift deshalb nicht weiter eingegangen, weil sie den Begründungsanforderungen nicht genügten. Sie erachtete sie mithin nicht als prozesskonform eingebracht.</w:t>
      </w:r>
    </w:p>
    <w:p>
      <w:r>
        <w:t>Das müsste der Beschwerdeführer widerlegen können, was ihm aber nicht gelingt, indem er bloss die Elemente erneut aufzählt und dem Bundesgericht seine eigenen daraus gezogenen Schlüsse präsentiert. Er vermag mit seinen Sachverhaltsrügen keine offensichtlich unrichtige oder unvollständige Feststellung des Sachverhalts aufzuzeigen. Der pauschale Vorwurf, die Vorinstanz habe alle von ihm vorgebrachten Umstände ignoriert, trifft nicht zu.</w:t>
      </w:r>
    </w:p>
    <w:p>
      <w:r>
        <w:rPr>
          <w:b/>
        </w:rPr>
        <w:t>E. 3.2</w:t>
      </w:r>
    </w:p>
    <w:p>
      <w:r>
        <w:t>Vor allem verkennt der Beschwerdeführer mit seiner Kritik die zentrale Erwägung der Vorinstanz: Wie schon das Bezirksgericht liess die Vorinstanz die Klage nicht erst daran scheitern, dass ein Konsens nicht bewiesen und der Inhalt des Vertrags nicht festgestellt werden konnte. Vielmehr fehlte es bereits - vorgelagert zu diesen Fragen - daran, dass der Beschwerdeführer nicht genügend behauptet und substantiiert hat, dass es zu einem (mündlichen) Vertragsabschluss gekommen ist.</w:t>
      </w:r>
    </w:p>
    <w:p>
      <w:r>
        <w:t>Unter</w:t>
      </w:r>
    </w:p>
    <w:p>
      <w:r>
        <w:t>diesem Aspekt hat die Vorinstanz die Vorbringen in der Berufung gewürdigt, kam aber zum Schluss, dass sie an der mangelhaften Substantiierung eines (mündlichen) Vertragsabschlusses nicht zu ändern vermöchten.</w:t>
      </w:r>
    </w:p>
    <w:p>
      <w:r>
        <w:t>Inwiefern diese zentrale Erwägung der Vorinstanz willkürlich sein soll, bzw. dass die Vorinstanz in rechtswidriger Weise eine genügende Substantiierung eines Vertragsabschlusses verneint hat, zeigt der Beschwerdeführer nicht auf.</w:t>
      </w:r>
    </w:p>
    <w:p>
      <w:r>
        <w:rPr>
          <w:b/>
        </w:rPr>
        <w:t>E. 4</w:t>
      </w:r>
    </w:p>
    <w:p>
      <w:r>
        <w:t>Die Beschwerde ist im geringen Umfang, in dem darauf eingetreten werden kann, abzuweisen. Bei diesem Ausgang des Verfahrens sind die Gerichtskosten gemäss Art. 66 Abs. 1 BGG dem Beschwerdeführer aufzuerlegen. Die Gebühr wird mit Blick auf den geringen Aufwand für die Behandlung der Beschwerde gegenüber dem erhobenen Kostenvorschuss auf Fr. 4'000.-- herabgesetzt.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