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4A_469/2018 vom 12. Oktober 2018</w:t>
      </w:r>
    </w:p>
    <w:p>
      <w:r>
        <w:t>Bundesgericht, 2018-10-12, FR</w:t>
      </w:r>
    </w:p>
    <w:p>
      <w:r>
        <w:rPr>
          <w:b/>
        </w:rPr>
        <w:t xml:space="preserve">Quelle: </w:t>
      </w:r>
      <w:r>
        <w:t>https://mcp.opencaselaw.ch/entscheid/bger_4A_469_2018</w:t>
      </w:r>
    </w:p>
    <w:p>
      <w:r>
        <w:t>FR: TF 4A_469/2018 du 12 octobre 2018</w:t>
      </w:r>
    </w:p>
    <w:p>
      <w:r>
        <w:t>IT: TF 4A_469/2018 del 12 ottobre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le demandeur, en tant qu'ex-employé d'une banque,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égard à la valeur litigieuse (cf. art. 74 al. 1 LTF a contrario).</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réfute l'argument selon lequel une mise en accusation de la banque entraînerait sa disparition. Elle considère ce fait comme " incertain ", le " scénario paraissant improbable ", ce d'autant plus que la banque, qui n'est pas active sur le marché américain, n'est pas d'importance systémique. Elle relève qu'aucun indice ne permet de dire qu'une livraison incomplète des données au DoJ aurait pour conséquence la révocation de l'accord d'ores et déjà conclu et que la banque se limite à faire état de " risques " de dénonciation de l'accord, sans toutefois démontrer l'existence d'un risque concret dans les circonstances de l'espèce. Elle considère que la troisième condition de l' art. 6 al. 2 let . d 1ère hypothèse LPD (caractère indispensable de la transmission) n'est pas réalisée.</w:t>
      </w:r>
    </w:p>
    <w:p>
      <w:r>
        <w:t>Selon la cour cantonale, la banque ne peut pas non plus se prévaloir de l' art. 6 al. 2 let . d 2ème hypothèse LPD, le caractère indispensable de la transmission (pour la défense d'un droit en justice, devant le DoJ) n'étant pas non plus démontré.</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hypothèse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w:t>
      </w:r>
    </w:p>
    <w:p>
      <w:r>
        <w:t>in concreto , en tenant compte de toutes les circonstances du cas particulier à la date du jugement (cf. arrêt 4A_390/2017 déjà cité consid. 4.2.2 et les références citées).</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On observe d'emblée que la cour cantonale a tranché la question litigieuse en considérant que la transmission des données n'était pas indispensable pour la sauvegarde de l'intérêt public prépondérant (cf. supra consid. 3.2.3).</w:t>
      </w:r>
    </w:p>
    <w:p>
      <w:r>
        <w:t>Les magistrats précédents se fondent sur les critères rappelés encore récemment par la Cour de céans dans une affaire concernant la même banque (arrêt 4A_611/2017 du 26 mars 2018 consid. 4.2) et ils relèvent que celle-ci n'a pas fait la démonstration d'un risque avéré (ou concret) dans les circonstances de l'espèce, mais qu'elle se contente de faire état " des risques " de voir l'accord conclu avec le DoJ révoqué.</w:t>
      </w:r>
    </w:p>
    <w:p>
      <w:r>
        <w:t>En l'occurrence, si les divers éléments énumérés par la banque rappellent qu'un manquement de sa part aux obligations résultant du Programme volontaire et de l'accord NPA comporte le risque (identifié de manière générale, abstraite, pour toutes les banques) d'une dénonciation de l'accord, ils ne suffisent pas à démontrer que la non-communication des données litigieuses serait concrètement (en l'espèce) de nature à remettre en cause l'accord conclu et/ou à entraîner une inculpation de la banque. A cet égard, il n'est d'ailleurs pas établi que la banque aurait fait l'objet de relances spécifiques ou de pressions déterminées de la part du DoJ. Par ailleurs, et cela est déterminant, on ne peut déduire de ces éléments que la livraison des données serait en l'occurrence nécessaire pour (risque subséquent) éviter une (nouvelle) intensification du litige fiscal avec les USA qui, de ce fait, affecterait la place financière suisse et porterait préjudice à la réputation de la Suisse en tant que partenaire de négociation fiable.</w:t>
      </w:r>
    </w:p>
    <w:p>
      <w:r>
        <w:t>Cela étant, la livraison des données litigieuses ne peut, en l'état actuel, être considérée comme indispensable au sens de l' art. 6 al. 2 let . d première hypothèse LPD.</w:t>
      </w:r>
    </w:p>
    <w:p>
      <w:r>
        <w:t>Faute de preuve d'un intérêt public actuel et concret de la banque à la transmission des données du demandeur, il n'y a pas lieu de le pondérer avec l'intérêt privé de celui-ci: en particulier, il n'y a pas à examiner le grief que la banque tente de tirer du rôle insignifiant joué par le demandeur et du risque minime qu'il encourrait d'être inculpé aux Etats-Unis, ce qui selon elle justifierait la transmission de ses données.</w:t>
      </w:r>
    </w:p>
    <w:p>
      <w:r>
        <w:t>Le moyen est infondé.</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w:t>
      </w:r>
    </w:p>
    <w:p>
      <w:r>
        <w:t>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 (cf. récemment arrêt 4A_174/2018 du 22 août 2018 consid. 3.4).</w:t>
      </w:r>
    </w:p>
    <w:p>
      <w:r>
        <w:t>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3.5</w:t>
      </w:r>
    </w:p>
    <w:p>
      <w:r>
        <w:t>Il reste à déterminer si, comme le soutient la banque, la communication des données est, pour elle, indispensable à la constatation, à l'exercice ou à la défense d'un droit en justice ( art. 6 al. 2 let . d deuxième hypothèse LPD).</w:t>
      </w:r>
    </w:p>
    <w:p>
      <w:r>
        <w:t>Il n'y a à cet égard pas lieu de se demander, comme le fait la recourante, si la procédure menée devant le DoJ peut être considérée, pour la banque, comme " la défense d'un droit en justice ". Il suffit ici de relever que la communication des données doit aussi être indispensable pour constater, exercer ou défendre un droit en justice. Sur ce point, la cour cantonale renvoie d'ailleurs à sa motivation, fournie sous l'angle de l' art. 6 al. 2 let . d première hypothèse LPD, niant le caractère indispensable de la communication. Or, la banque n'a jamais prétendu, ni dans son appel, ni dans son recours en matière civile, que le caractère indispensable de la communication aurait une signification différente dans les deux hypothèses de l' art. 6 al. 2 let . d LPD.</w:t>
      </w:r>
    </w:p>
    <w:p>
      <w:r>
        <w:t>La prémisse sur laquelle se fonde la recourante (le caractère indispensable de la communication des données) ayant été écartée (cf. supra consid. 3.3), son argumentation en rapport avec la seconde hypothèse de l' art. 6 al. 2 let . d LPD se révèle sans consistance.</w:t>
      </w:r>
    </w:p>
    <w:p>
      <w:r>
        <w:t>Le moyen est également infondé.</w:t>
      </w:r>
    </w:p>
    <w:p>
      <w:r>
        <w:rPr>
          <w:b/>
        </w:rPr>
        <w:t>E. 3.6</w:t>
      </w:r>
    </w:p>
    <w:p>
      <w:r>
        <w:t>Il est donc superflu d'examiner si la cour cantonale, comme le prétend la recourante, a transgressé l' art. 4 LPD .</w:t>
      </w:r>
    </w:p>
    <w:p>
      <w:r>
        <w:rPr>
          <w:b/>
        </w:rPr>
        <w:t>E. 4</w:t>
      </w:r>
    </w:p>
    <w:p>
      <w:r>
        <w:t>Il résulte des considérations qui précèdent que le recours en matière civile doit être rejeté.</w:t>
      </w:r>
    </w:p>
    <w:p>
      <w:r>
        <w:t>Les frais de la procédure fédérale sont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