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4A_469/2017 vom 8. April 2019</w:t>
      </w:r>
    </w:p>
    <w:p>
      <w:r>
        <w:t>Bundesgericht, 2019-04-08, FR</w:t>
      </w:r>
    </w:p>
    <w:p>
      <w:r>
        <w:rPr>
          <w:b/>
        </w:rPr>
        <w:t xml:space="preserve">Quelle: </w:t>
      </w:r>
      <w:r>
        <w:t>https://mcp.opencaselaw.ch/entscheid/bger_4A_469_2017</w:t>
      </w:r>
    </w:p>
    <w:p>
      <w:r>
        <w:t>FR: TF 4A_469/2017 du 8 avril 2019</w:t>
      </w:r>
    </w:p>
    <w:p>
      <w:r>
        <w:t>IT: TF 4A_469/2017 del 8 aprile 2019</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cause atteint la valeur litigieuse minimale de 30'000 fr., ouvrant le recours en matière civile dans les affaires ne relevant ni du droit du travail ni du droit du bail à loyer ( art. 74 al. 1 let. b LTF ). Le recours est exercé par les parties qui ont succombé dans leurs conclusions condamnatoires et qui ont donc qualité pour recourir ( art. 76 al. 1 LTF ); il a été déposé dans le délai ( art. 46 al. 1 let. b et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w:t>
      </w:r>
    </w:p>
    <w:p>
      <w:r>
        <w:t>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t>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Les recourants réclament l'exécution d'une obligation que l'intimé aurait assumée envers eux.</w:t>
      </w:r>
    </w:p>
    <w:p>
      <w:r>
        <w:t>Il est constant que les vendeurs ont cédé les actions de la société L.________ SA aux acheteurs, selon convention du 26 mai 2009. Celle-ci a été rédigée par l'intimé, notaire de son état. Le prix de vente des actions a été fixé à 240'000 fr. Il est également établi que ce montant a été crédité le jour même de la transaction sur le compte de consignation de l'intimé et qu'une partie, soit 157'715 fr.75, a été transférée aux vendeurs le lendemain par le notaire, comme prévu au chiffre II de la convention. Le litige porte sur le droit des vendeurs d'exiger du notaire le paiement du solde du prix de vente, lequel représente 82'284 fr.25 (240'000 fr../. 157'715 fr.75, et non 82'28</w:t>
      </w:r>
    </w:p>
    <w:p>
      <w:r>
        <w:rPr>
          <w:b/>
        </w:rPr>
        <w:t>E. 3.1.1</w:t>
      </w:r>
    </w:p>
    <w:p>
      <w:r>
        <w:t>La consignation est une forme particulière de dépôt. Elle consiste en l'opération par laquelle une personne - le consignant - remet une chose à une autre - le consignataire - à charge pour ce dernier de la conserver jusqu'à ce qu'un tiers - le bénéficiaire - ou le consignant soit autorisé à lui en réclamer la délivrance. Trois relations sont en jeu: le consignant et le consignataire sont liés par un contrat de dépôt ( art. 472 ss CO ); entre le consignant et le bénéficiaire, il existe une relation contractuelle propre, étrangère comme telle à la consignation; entre le consignataire et le bénéficiaire, la consignation se caractérise comme une stipulation pour autrui ( art. 112 CO ), soumise à la réalisation de conditions (TERCIER/BIERI/CARRON, Les contrats spéciaux, 5</w:t>
      </w:r>
    </w:p>
    <w:p>
      <w:r>
        <w:t>e éd. 2016, n</w:t>
      </w:r>
    </w:p>
    <w:p>
      <w:r>
        <w:t>os 6005 à 6008 p. 889; RICHARD BARBEY, in Commentaire romand, Code des obligations I, 2</w:t>
      </w:r>
    </w:p>
    <w:p>
      <w:r>
        <w:t>e éd. 2012, n</w:t>
      </w:r>
    </w:p>
    <w:p>
      <w:r>
        <w:t>os 6-7 ad art. 480 CO ). Suivant le contexte et la volonté des parties, le consignataire pourra être tenu de remettre la chose, mobilière ou fongible, directement au bénéficiaire (TERCIER/BIERI/CARRON, op. cit, n</w:t>
      </w:r>
    </w:p>
    <w:p>
      <w:r>
        <w:t>os 6005 et 6008 p. 889).</w:t>
      </w:r>
    </w:p>
    <w:p>
      <w:r>
        <w:rPr>
          <w:b/>
        </w:rPr>
        <w:t>E. 3.1.2</w:t>
      </w:r>
    </w:p>
    <w:p>
      <w:r>
        <w:t>La stipulation pour autrui, au sens de l' art. 112 CO , est une convention par laquelle un sujet, le stipulant, se fait promettre par un autre, le promettant, une prestation en faveur d'un tiers, le bénéficiaire ( ATF 139 III 60 consid. 5.2 p. 63; 117 II 315 consid. 5d p. 320). L' 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La stipulation pour autrui parfaite ne se présume pas ( ATF 139 III 60 consid. 5.2 p. 64 et les références). Elle peut résulter des manifestations de volonté concordantes des parties ou de l'usage ( art. 112 al. 2 CO ).</w:t>
      </w:r>
    </w:p>
    <w:p>
      <w:r>
        <w:t>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 ATF 139 III 60 consid. 5.3 p. 65 et la référence).</w:t>
      </w:r>
    </w:p>
    <w:p>
      <w:r>
        <w:rPr>
          <w:b/>
        </w:rPr>
        <w:t>E. 3.1.3</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144 III 93 consid. 5.2.2 p. 98; 143 III 157 consid. 1.2.2 p. 159 et les arrêts cités). La recherche de la volonté réelle des parties est qualifiée d'interprétation subjective ( ATF 144 III 93 consid. 5.2.2 p. 98; 131 III 606 consid. 4.1 p. 611; 125 III 305 consid. 2b p. 308). Déterminer ce qu'un cocontractant savait et voulait au moment de conclure relève des constatations de fait qui lient le Tribunal fédéral ( art. 105 al. 1 LTF ; ATF 132 III 268 consid. 2.3.2; 131 III 606 consid. 4.1 p. 611; 128 III 419 consid. 2.2 p. 422).</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144 III 93 consid. 5.2.3 p. 98 s. et les arrêts cités). Cette interprétation dite objective s'effectue non seulement d'après le texte et le contexte des déclarations, mais également sur le vu des circonstances qui les ont précédées et accompagnées, à l'exclusion des circonstances postérieures ( ATF 144 III 93 consid. 5.2.3 p. 99; 133 III 61 consid. 2.2.1 p. 67 et les arrêts cités).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144 III 93 consid. 5.2.3 p. 99; 135 III 410 consid. 3.2).</w:t>
      </w:r>
    </w:p>
    <w:p>
      <w:r>
        <w:rPr>
          <w:b/>
        </w:rPr>
        <w:t>E. 3.2</w:t>
      </w:r>
    </w:p>
    <w:p>
      <w:r>
        <w:t>La cour cantonale a jugé que le notaire était intervenu comme consignataire et que les demandeurs n'étaient pas au bénéfice d'une stipulation pour autrui parfaite. Elle a retenu, en fait, qu'aucun décompte acheteurs-vendeurs n'avait été établi dans le délai fixé conventionnellement au 28 février 2010. Dans ce cas de figure, il n'avait pas été dans l'intention des parties de charger le notaire de verser aux vendeurs le solde du prix de vente. A fortiori les parties n'avaient-elles pas entendu permettre aux vendeurs de s'adresser directement au notaire pour en réclamer le paiement.</w:t>
      </w:r>
    </w:p>
    <w:p>
      <w:r>
        <w:rPr>
          <w:b/>
        </w:rPr>
        <w:t>E. 3.3</w:t>
      </w:r>
    </w:p>
    <w:p>
      <w:r>
        <w:t>L'analyse de la question litigieuse implique de raisonner en deux étapes. En premier lieu, il s'agit de déterminer quelles instructions ont été données au notaire, respectivement si celui-ci devait verser le solde du prix de vente aux vendeurs en l'absence de tout décompte acheteurs-vendeurs établi dans le délai imparti. Ce n'est que dans l'affirmative, soit dans un second temps, qu'il convient de déterminer si les parties ont permis aux vendeurs de le réclamer eux-mêmes au notaire, en vertu d'une stipulation pour autrui parfaite ( art. 112 al. 2 CO ). Cette analyse s'opère suivant les règles précitées relatives à l'interprétation du contrat.</w:t>
      </w:r>
    </w:p>
    <w:p>
      <w:r>
        <w:t>La cour cantonale a répondu négativement à la première question, ce qui impliquait logiquement d'en faire autant s'agissant de la seconde. Bien que cela ne figure pas en toutes lettres dans l'arrêt attaqué, l'autorité précédente a procédé à une interprétation subjective de l'accord et a déterminé la réelle et commune intention des parties, puisqu'elle ne s'est pas référée à la compréhension qu'en aurait un tiers de bonne foi. Les recourants ne font pas valoir que le résultat auquel elle est parvenue serait arbitraire. Leur affirmation selon laquelle l'interprétation de la cour cantonale irait à l'encontre de la réelle et commune intention des parties ne contient pas même l'ébauche d'un tel grief. Il faudrait plus que l'invocation des "règles élémentaires du contrat de vente" ou du caractère prétendument notoire du sort du solde du prix de vente en matière immobilière - il n'est d'ailleurs pas question ici d'une telle vente - pour démontrer l'inanité des faits constatés souverainement par la cour cantonale. Ce que les recourants considèrent comme une évidence - à savoir que le notaire était chargé de leur verser le solde du prix de vente si aucun décompte n'était établi dans un délai donné - n'en est pas une. Il n'est pas davantage établi que "les parties au contrat de vente d'actions ont suspendu «le transfert» par l'intimé du solde du prix de vente aux recourants, soit 82'284 fr.25, jusqu'à l'établissement d'un décompte acheteur-vendeur, mais au plus tard jusqu'au 28 février 2010". Les recourants ne sont d'ailleurs pas parfaitement cohérents sur ce point, puisqu'ils soutiennent dans le même temps que, faute de décompte, le solde du prix de vente était dû trente jours après cette date butoir. En réalité, la convention ne prévoit expressément rien de tel et on ne voit pas, sur la base de ce qui précède, en quoi les constatations de fait auxquelles la cour cantonale est parvenue seraient arbitraires.</w:t>
      </w:r>
    </w:p>
    <w:p>
      <w:r>
        <w:t>Il est vrai que - comme les recourants le soulignent - c'est l'intégralité du prix de vente qui a été versé par les acheteurs sur le compte de consignation du notaire. Il est établi également que les vendeurs ont donné quittance aux acheteurs du paiement de l'entier de cette somme. Cela étant, ceci pourrait fort bien avoir un sens uniquement si un décompte acheteurs-vendeurs était établi dans un certain délai. En d'autres termes, le sens de ces éléments n'est pas univoque: ils ne démontrent pas à l'évidence que la volonté des parties était que le notaire libère le solde du prix de vente au profit des vendeurs, à l'échéance susmentionnée, si aucun décompte n'était finalement établi. Les recourants ne s'estiment d'ailleurs pas victimes d'arbitraire sur ces points. Ils reprochent plutôt à la cour cantonale d'avoir perdu de vue l'obstacle que représente pour eux le fait d'avoir, dans l'acte de vente, donné quittance du paiement de la totalité du prix de vente s'ils ouvrent action contre les acheteurs en paiement du solde. Savoir quelle portée serait attribuée à cette quittance dans ce contexte n'est pas l'objet de la présente procédure. Elle ne paraît pas à première vue sceller le sort d'une telle action. En effet, la quittance, simple moyen de preuve, instaure la présomption que la dette mentionnée a été éteinte, mais n'exclut pas la preuve contraire, si le paiement n'est pas intervenu malgré le reçu (cf. ATF 139 III 160 consid. 2.7 p. 163 s. et les références; cf. également arrêt 4A_23/2015 du 20 mai 2015 consid. 3.3).</w:t>
      </w:r>
    </w:p>
    <w:p>
      <w:r>
        <w:t>Les recourants tirent encore argument de l'intérêt que revêtait pour eux le versement du solde à une échéance contractuellement déterminée et ajoutent que les acheteurs étaient les seuls à pouvoir effectuer le décompte précité, qui était à leur seul avantage puisqu'il permettait de remettre en cause le prix de vente convenu à la baisse. L'état de fait résultant de l'arrêt cantonal, qui lie le Tribunal fédéral ( art. 105 al. 1 LTF ), est muet sur ces points. Il n'a en particulier pas été établi quels étaient l'objet et le but de ce décompte acheteurs-vendeurs. Le grief d'arbitraire n'étant pas soulevé à cet égard non plus, il ne sera pas tenu compte de la critique élevée dans le recours.</w:t>
      </w:r>
    </w:p>
    <w:p>
      <w:r>
        <w:t>A bien comprendre les recourants, il faudrait procéder à une interprétation objective dont ils rappellent les principes, sans toutefois indiquer de quelle manière ceux-ci trouveraient application</w:t>
      </w:r>
    </w:p>
    <w:p>
      <w:r>
        <w:t>in concreto . En tout état de cause, une interprétation objective n'a pas lieu d'être, puisque la cour cantonale est parvenue à établir la volonté réelle des parties.</w:t>
      </w:r>
    </w:p>
    <w:p>
      <w:r>
        <w:t>Les recourants rappellent par ailleurs que les clauses ambiguës doivent s'interpréter en défaveur de celui qui les a rédigées. La cour cantonale aurait ainsi violé le droit fédéral en aboutissant à une solution favorable au notaire sous la plume duquel la convention avait été rédigée. A suivre leur raisonnement, le résultat de l'interprétation subjective ne pourrait jamais correspondre à la thèse soutenue par la partie qui a rédigé le contrat. Il ne saurait en aller ainsi. Le principe</w:t>
      </w:r>
    </w:p>
    <w:p>
      <w:r>
        <w:t>in dubio contra stipulatorem intervient de manière subsidiaire, si l'interprétation selon le principe de la confiance ne permet pas de dégager le sens de clauses ambiguës ( ATF 133 III 61 consid. 2.2.2.3 p. 69; 122 III 118 consid. 2a p. 121), ce que les recourants rappellent d'ailleurs paradoxalement eux-mêmes. Partant, ce grief se révèle également mal fondé.</w:t>
      </w:r>
    </w:p>
    <w:p>
      <w:r>
        <w:rPr>
          <w:b/>
        </w:rPr>
        <w:t>E. 3.4</w:t>
      </w:r>
    </w:p>
    <w:p>
      <w:r>
        <w:t>Les recourants font valoir que la cour cantonale a versé dans l'arbitraire en n'appliquant pas l'art. 44 al. 4 de la loi vaudoise du 29 juin 2004 sur le notariat (LNo/VD; RSV 178.11), qui prévoit sous le titre "garde des valeurs" l'obligation pour le notaire de restituer les fonds d'office, sitôt l'affaire terminée, à défaut d'instructions précises et écrites des intéressés.</w:t>
      </w:r>
    </w:p>
    <w:p>
      <w:r>
        <w:rPr>
          <w:b/>
        </w:rPr>
        <w:t>E. 3.4.1</w:t>
      </w:r>
    </w:p>
    <w:p>
      <w:r>
        <w:t>Le Tribunal fédéral ne revoit l'application du droit cantonal que si elle donne lieu à un grief de violation du droit fédéral, tel le grief d'arbitraire au sens de l' art. 9 Cst. ( ATF 134 III 379 consid. 1.2).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 2.1 p. 18 s.; 138 III 378 consid. 6.1 p. 379 s.).</w:t>
      </w:r>
    </w:p>
    <w:p>
      <w:r>
        <w:rPr>
          <w:b/>
        </w:rPr>
        <w:t>E. 3.4.2</w:t>
      </w:r>
    </w:p>
    <w:p>
      <w:r>
        <w:t>Selon la cour cantonale, l'art. 44 al. 4 LNo/VD est inapplicable dès lors que la somme de 82'284 fr.25 n'était pas «acquise» aux vendeurs, selon le terme utilisé par ces derniers. Sur ce point, les recourants reprochent à l'autorité précédente d'avoir fait fi du fait qu'ils avaient donné quittance du prix de vente total de 240'000 fr., preuve que cette somme serait la leur et qu'ils ne disposeraient ainsi plus contre les acheteurs d'une créance pour le solde litigieux.</w:t>
      </w:r>
    </w:p>
    <w:p>
      <w:r>
        <w:t>Cela étant, cette quittance pourrait tout au plus signifier que les vendeurs ont reçu ledit montant, ce qu'ils contestent précisément. Comme la prémisse qui justifierait l'application de l'art. 44 al. 4 LNo/VD n'est pas fondée, on ne décèle aucun arbitraire dans l'application du droit cantonal par les juges précédents.</w:t>
      </w:r>
    </w:p>
    <w:p>
      <w:r>
        <w:t>4.</w:t>
      </w:r>
    </w:p>
    <w:p>
      <w:r>
        <w:t>Dans une argumentation subsidiaire, les recourants font valoir que la créance qu'ils détiennent à l'encontre du notaire est fondée sur le contrat de dépôt. Ils invoquent ainsi la violation des art. 472 ss CO , notamment les art. 479 et 481 CO .</w:t>
      </w:r>
    </w:p>
    <w:p>
      <w:r>
        <w:t>4.1. La cour cantonale a écarté la thèse d'un contrat de dépôt entre les vendeurs et le notaire, portant sur le solde du prix de vente, au motif que ce n'étaient pas les vendeurs qui avaient remis le prix de vente au notaire, mais les acheteurs des actions.</w:t>
      </w:r>
    </w:p>
    <w:p>
      <w:r>
        <w:t>4.2. Les recourants font valoir que la somme litigieuse est devenue leur, à partir du moment où ils en ont donné quittance aux acheteurs. Cette acquisition aurait fait d'eux les déposants du solde du prix de vente, dont le notaire serait devenu dépositaire "dans le cadre du contrat d'</w:t>
      </w:r>
    </w:p>
    <w:p>
      <w:r>
        <w:t>escrow ". Ils en déduisent que c'est bien à eux que le notaire devait rétrocéder la somme en cause. Tout autre raisonnement reviendrait à les priver de la possibilité d'obtenir de quiconque paiement de cette somme, dès lors qu'ils en avaient donné quittance aux acheteurs.</w:t>
      </w:r>
    </w:p>
    <w:p>
      <w:r>
        <w:t>4.3. Il est constant - et les recourants ne le contestent d'ailleurs pas - que la somme de 240'000 fr. a été versée sur le compte de consignation du notaire par les acheteurs. C'est entre ces deux parties qu'un contrat de dépôt existait et c'est donc envers les acheteurs que le notaire était en principe tenu à restitution ( art. 475 CO ), une stipulation pour autrui parfaite n'étant au surplus pas établie. Mise à part la quittance, dont la portée a déjà été discutée plus haut, les recourants ne font valoir aucun autre élément qui accréditerait la construction juridique qu'ils défendent. Le grief ne peut qu'être écarté.</w:t>
      </w:r>
    </w:p>
    <w:p>
      <w:r>
        <w:rPr>
          <w:b/>
        </w:rPr>
        <w:t>E. 5</w:t>
      </w:r>
    </w:p>
    <w:p>
      <w:r>
        <w:t>Sur le vu de ce qui précède, le recours doit être rejeté.</w:t>
      </w:r>
    </w:p>
    <w:p>
      <w:r>
        <w:t>Les recourants, qui succombent, prendront à leur charge solidairement les frais de la présente procédure ( art. 66 al. 1 et 5 LTF ) et verseront solidairement à l'intimé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