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469/2016 vom 19. Januar 2017</w:t>
      </w:r>
    </w:p>
    <w:p>
      <w:r>
        <w:t>Bundesgericht, 2017-01-19, FR</w:t>
      </w:r>
    </w:p>
    <w:p>
      <w:r>
        <w:rPr>
          <w:b/>
        </w:rPr>
        <w:t xml:space="preserve">Quelle: </w:t>
      </w:r>
      <w:r>
        <w:t>https://mcp.opencaselaw.ch/entscheid/bger_4A_469_2016</w:t>
      </w:r>
    </w:p>
    <w:p>
      <w:r>
        <w:t>FR: TF 4A 469/2016 du 19 janvier 2017</w:t>
      </w:r>
    </w:p>
    <w:p>
      <w:r>
        <w:t>IT: TF 4A 469/2016 del 19 gennaio 2017</w:t>
      </w:r>
    </w:p>
    <w:p>
      <w:pPr>
        <w:pStyle w:val="Heading2"/>
      </w:pPr>
      <w:r>
        <w:t>Regeste</w:t>
      </w:r>
    </w:p>
    <w:p>
      <w:r>
        <w:t>responsabilité civile | Assurance responsabilité civile</w:t>
      </w:r>
    </w:p>
    <w:p>
      <w:pPr>
        <w:pStyle w:val="Heading2"/>
      </w:pPr>
      <w:r>
        <w:t>Erwägungen</w:t>
      </w:r>
    </w:p>
    <w:p>
      <w:r>
        <w:rPr>
          <w:b/>
        </w:rPr>
        <w:t>E. 1</w:t>
      </w:r>
    </w:p>
    <w:p>
      <w:r>
        <w:t>Le recours est dirigé contre un jugement d'appel qui met fin au procès entrepris par les demandeurs. La valeur litigieuse peut être évaluée d'après les conclusions de leur demande en justice; elle excède 30'000 francs. Les conditions de recevabilité du recours en matière civile sont par ailleurs satisfaites.</w:t>
      </w:r>
    </w:p>
    <w:p>
      <w:r>
        <w:rPr>
          <w:b/>
        </w:rPr>
        <w:t>E. 2</w:t>
      </w:r>
    </w:p>
    <w:p>
      <w:r>
        <w:t>A teneur de l' art. 58 CO , le propriétaire d'un bâtiment ou de tout autre ouvrage répond du dommage causé par des vices de construction ou par le défaut d'entretien. Il est constant que les trois ascenseurs sont parties intégrantes d'un bâtiment propriété de la défenderesse. Selon la thèse des demandeurs, la cage verticale des trois ascenseurs aurait dû comporter sur toute sa hauteur une séparation entre l'ascenseur du centre, d'une part, et celui de droite et son contrepoids d'autre part. Il n'existait en réalité qu'une séparation haute de 2m50 seulement; cette hauteur insuffisante était un vice de construction et il y a causalité entre ce vice et l'accident. Les demandeurs admettent que le défunt a commis une faute également causale en ne mettant pas hors service l'ascenseur de droite pendant qu'il intervenait sur l'ascenseur du centre; c'est pourquoi ils évaluent la responsabilité de la défenderesse au taux réduit de 70%. La Cour d'appel n'a pas examiné si la hauteur de la séparation existante était ou n'était pas suffisante. Elle a retenu que de toute manière, le défunt a commis deux fautes qui, en raison de leur gravité, interrompent le lien de causalité entre un éventuel vice de construction, d'une part, et l'accident d'autre part: le défunt a omis de mettre l'ascenseur de droite hors service alors que cette précaution s'imposait; de plus, par une imprudence inexcusable, il s'est placé dans le chemin du contrepoids de cet ascenseur.</w:t>
      </w:r>
    </w:p>
    <w:p>
      <w:r>
        <w:rPr>
          <w:b/>
        </w:rPr>
        <w:t>E. 3</w:t>
      </w:r>
    </w:p>
    <w:p>
      <w:r>
        <w:t>La responsabilité instituée par l' art. 58 CO suppose un lien de causalité adéquate entre le vice de construction et le dommage dont la réparation est réclamée au propriétaire (cf. ATF 123 III 306 consid. 5b p. 313/314). La causalité est adéquate lorsque, d'après le cours ordinaire des choses et l'expérience de la vie, la cause était propre à entraîner un effet du genre de celui qui s'est produit ( ATF 139 V 176 consid. 8.4.2 p. 190; 129 II 312 consid. 3.3 p. 318; 123 III 110 consid. 3a p. 112). Face à un enchaînement concret de circonstances, le juge doit examiner s'il était probable que la cause considérée produisît le résultat intervenu; ce n'est pas la prévisibilité subjective mais la prévisibilité objective qui est déterminante ( ATF 139 V 176 , ibid.; 112 II 439 consid. 1d p. 442; 101 II 69 consid. 3a p. 73). Elucider la causalité naturelle relève de la constatation des faits; apprécier la causalité adéquate s'inscrit dans l'application du droit, que le Tribunal fédéral contrôle librement ( ATF 139 V 176 consid. 8.4.3 p. 190; 116 II 519 consid. 4a i.f. p. 524). Une faute du lésé rompt le lien de causalité adéquate lorsqu'elle est si lourde et déraisonnable qu'elle s'impose comme la cause la plus immédiate du dommage et relègue à l'arrière-plan tous les autres facteurs qui ont contribué à le provoquer, y compris le fait imputable à la partie recherchée ( ATF 127 III 453 consid. 5d p. 457; 123 III 306 consid. 5b p. 314). La faute doit être aberrante et imprévisible au point de ne plus s'inscrire dans le cours ordinaire des choses ( ATF 116 II 519 consid. 4b p. 524). L'intensité de chacune des causes en présence est déterminante: si la faute du lésé apparaît lourde au point de presque supplanter le fait imputable à la partie recherchée, alors le lien de causalité adéquate est rompu ( ATF 130 III 182 consid. 5.4 p. 188; 116 II 519 ibid.). Lorsqu'une faute est imputable au lésé mais n'entraîne pas la rupture du lien de causalité adéquate, elle donne lieu à une réduction de la responsabilité en application de l' art. 44 al. 1 CO ( ATF 130 III 591 consid. 5.2 p. 600/601; 95 II 43 consid. 4c p. 53).</w:t>
      </w:r>
    </w:p>
    <w:p>
      <w:r>
        <w:rPr>
          <w:b/>
        </w:rPr>
        <w:t>E. 4</w:t>
      </w:r>
    </w:p>
    <w:p>
      <w:r>
        <w:t>La Cour d'appel retient que le lien de causalité adéquate est interrompu parce que le défunt a omis de mettre l'ascenseur de droite hors service avant de s'introduire dans la cage des trois ascenseurs. Les demandeurs admettent que cette omission est une faute mais ils contestent qu'elle interrompe le lien de causalité; ils reconnaissent seulement une diminution de la responsabilité que la défenderesse doit à leur avis assumer par suite d'un vice de construction. Tout d'abord, A.________ n'a pas mis l'ascenseur adjacent hors service. Les experts et collègues du défunt ont relevé qu'il s'agissait là d'une mesure élémentaire à réaliser avant toute intervention et que cette mesure était connue de l'intéressé. Ainsi, l'expert Marton a relevé qu'une personne du métier sait reconnaître au premier coup d'oeil (même depuis le rez-de-chaussé) qu'il s'agit d'une gaine dans laquelle plusieurs installations sont adjacentes et il a précisé que les usages de la profession sont clairs, en ce sens que tout risque lié aux courses non contrôlées des installations adjacentes doit être éliminé (couper l'alimentation de courant; mise en inspection); il a par ailleurs mentionné la page 5 du livret « sécurité et VSA » connu de toute la profession, qui rend particulièrement attentif aux installations duplex: « Attention aux installations duplex. Double attention nécessaire, éviter les courses non contrôlées de l'installation voisine, attention aux lieux de croisement lorsque la cabine et le contrepoids sont voisins, se [concerter] mutuellement lorsque des travaux sont effectués sur les deux installations simultanément ». L'expert en a conclu que la victime avait sous-estimé les risques qui caractérisent des installations adjacentes placées dans une gaine commune et qu'il aurait pu éviter la collision en mettant l'ascenseur hors service, « c'est-à-dire en respectant les mesures de sécurité de la profession ». Le témoin M.________, ancien collègue de la victime, a confirmé que les techniciens employés sur les ascenseurs devaient obligatoirement stopper les deux ascenseurs, même si on leur demandait d'aller vite. Le témoin N.________, assistant de sécurité et qualité au sein de U.________ SA, a déclaré ce qui suit: « La sécurité était suffisante parce qu'on savait que pour travailler dans ce type d'installation, il fallait mettre les ascenseurs hors service. (...) Nos employés savaient que, dans le cadre de l'intervention sur les ascenseurs en duplex, il fallait que le deuxième ascenseur soit également arrêté avant de travailler sur l'ascenseur à réparer (...). C'est quelque chose d'évident, de mon point de vue, pour ceux qui s'occupent d'entretien d'ascenseurs. » A bon droit et contrairement à l'opinion des demandeurs, la Cour retient avec raison que la faute commise, en raison de sa gravité et de l'absence de toute circonstance de nature à l'excuser, interrompt le lien de causalité entre un hypothétique vice de construction et l'accident subi par le défunt. Les demandeurs soutiennent que la faute en cause n'était pas « imprévisible », selon les termes de la jurisprudence précitée, parce que des normes de construction exigent des parois de séparation entre plusieurs ascenseurs installés dans la même cage verticale, d'une part, et parce que la même faute a déjà été commise par des collègues du défunt lors de l'intervention du dimanche 14 mai 2006, d'autre part. Cette argumentation est inconsistante. La Cour d'appel a non seulement correctement rapporté la jurisprudence pertinente, comme les demandeurs l'admettent, mais elle l'a aussi correctement appliquée. Mettre hors service l'ascenseur voisin était une précaution absolument élémentaire et on ne comprend pas qu'un spécialiste compétent et expérimenté, tel le défunt, ait pu s'en abstenir. Il est par ailleurs sans importance que le remplacement de la paroi de 2m50 par une protection plus haute, préconisée par une recommandation technique postérieure à la mise en service des ascenseurs en cause, eût été une mesure que les demandeurs tiennent pour « simple et peu coûteuse ». En raison de son incidence sur le lien de causalité adéquate, l'omission imputable au défunt et reconnue par les demandeurs suffit à entraîner le rejet du recours en matière civile. Il n'est donc pas nécessaire de discuter le comportement du défunt à l'intérieur de la cage des ascenseurs, ni d'examiner les autres points abordés dans le mémoire de recours.</w:t>
      </w:r>
    </w:p>
    <w:p>
      <w:r>
        <w:rPr>
          <w:b/>
        </w:rPr>
        <w:t>E. 5</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 A titre de parties qui succombent, les demandeurs doivent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