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4A_468/2024 vom 26. November 2024</w:t>
      </w:r>
    </w:p>
    <w:p>
      <w:r>
        <w:t>Bundesgericht, 2024-11-26, DE</w:t>
      </w:r>
    </w:p>
    <w:p>
      <w:r>
        <w:rPr>
          <w:b/>
        </w:rPr>
        <w:t xml:space="preserve">Quelle: </w:t>
      </w:r>
      <w:r>
        <w:t>https://mcp.opencaselaw.ch/entscheid/bger_4A_468_2024</w:t>
      </w:r>
    </w:p>
    <w:p>
      <w:r>
        <w:t>FR: TF 4A_468/2024 du 26 novembre 2024</w:t>
      </w:r>
    </w:p>
    <w:p>
      <w:r>
        <w:t>IT: TF 4A_468/2024 del 26 novembre 2024</w:t>
      </w:r>
    </w:p>
    <w:p>
      <w:pPr>
        <w:pStyle w:val="Heading2"/>
      </w:pPr>
      <w:r>
        <w:t>Erwägungen</w:t>
      </w:r>
    </w:p>
    <w:p>
      <w:r>
        <w:rPr>
          <w:b/>
        </w:rPr>
        <w:t>E. 1</w:t>
      </w:r>
    </w:p>
    <w:p>
      <w:r>
        <w:t>Mit Urteil vom 8. November 2023 ordnete das Bezirksgericht Meilen wegen eines Organisationsmangels die Auflösung und Liquidation der Beschwerdeführerin nach den Vorschriften über den Konkurs an und beauftragte das zuständige Konkursamt mit dem Vollzug.</w:t>
      </w:r>
    </w:p>
    <w:p>
      <w:r>
        <w:t>Mit Eingabe vom 3. Juni 2024 gelangte die Beschwerdeführerin an das Bezirksgericht und ersuchte um Wiederherstellung der Beschwerdefrist. Sie erhob zugleich Beschwerde mit dem Antrag, der Auflösungsentscheid und die Anordnung der Liquidation seien aufzuheben. Das Bezirksgericht leitete die Eingabe zuständigkeitshalber an das Obergericht des Kantons Zürich weiter.</w:t>
      </w:r>
    </w:p>
    <w:p>
      <w:r>
        <w:t>Mit Beschluss vom 9. August 2024 trat das Obergericht des Kantons Zürich auf das Gesuch der Beschwerdeführerin um Wiederherstellung der Berufungsfrist nicht ein. Auf die Berufung trat das Obergericht wegen verpasster Rechtsmittelfrist nicht ein.</w:t>
      </w:r>
    </w:p>
    <w:p>
      <w:r>
        <w:t>Mit Eingabe vom 1. September 2024 erklärte die Beschwerdeführerin dem Bundesgericht, den Beschluss des Obergerichts des Kantons Zürich vom 9. August 2024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ihrer Beschwerdeeingabe vom 1. September 2024 nicht hinreichend mit den Erwägungen des angefochtenen Entscheids des Obergerichts des Kantons Zürich vom 8. August 2024 auseinander und zeigt nicht rechtsgenügend auf, inwiefern die Vorinstanz mit ihrem Nichteintretensentscheid Bundesrecht verletzt hätte. Vielmehr unterbreitet sie dem Bundesgericht in unzulässiger Weise ihre eigene Sicht der Dinge, ohne eine hinreichende Sachverhaltsrüge zu erheben. Die Beschwerdeführerin verkennt im Übrigen, dass keine Hinweise auf eine mangelhafte Begründung der Beschwerde erfolgen.</w:t>
      </w:r>
    </w:p>
    <w:p>
      <w:r>
        <w:t>Auf die Beschwerde ist somit im vereinfachten Verfahren nach Art. 108 Abs. 1 lit. b BGG nicht einzutreten.</w:t>
      </w:r>
    </w:p>
    <w:p>
      <w:r>
        <w:rPr>
          <w:b/>
        </w:rPr>
        <w:t>E. 3</w:t>
      </w:r>
    </w:p>
    <w:p>
      <w:r>
        <w:t>Die Beschwerdeführerin wird bei diesem Verfahrensausgang kostenpflichtig ( Art. 66 Abs. 1 BGG ).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