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468/2014 vom 12. März 2015</w:t>
      </w:r>
    </w:p>
    <w:p>
      <w:r>
        <w:t>Bundesgericht, 2015-03-12, FR</w:t>
      </w:r>
    </w:p>
    <w:p>
      <w:r>
        <w:rPr>
          <w:b/>
        </w:rPr>
        <w:t xml:space="preserve">Quelle: </w:t>
      </w:r>
      <w:r>
        <w:t>https://mcp.opencaselaw.ch/entscheid/bger_4A_468_2014</w:t>
      </w:r>
    </w:p>
    <w:p>
      <w:r>
        <w:t>FR: TF 4A 468/2014 du 12 mars 2015</w:t>
      </w:r>
    </w:p>
    <w:p>
      <w:r>
        <w:t>IT: TF 4A 468/2014 del 12 marzo 2015</w:t>
      </w:r>
    </w:p>
    <w:p>
      <w:pPr>
        <w:pStyle w:val="Heading2"/>
      </w:pPr>
      <w:r>
        <w:t>Regeste</w:t>
      </w:r>
    </w:p>
    <w:p>
      <w:r>
        <w:t>mandat; honoraires | Droit des contrats</w:t>
      </w:r>
    </w:p>
    <w:p>
      <w:pPr>
        <w:pStyle w:val="Heading2"/>
      </w:pPr>
      <w:r>
        <w:t>Erwägungen</w:t>
      </w:r>
    </w:p>
    <w:p>
      <w:r>
        <w:rPr>
          <w:b/>
        </w:rPr>
        <w:t>E. 1.1</w:t>
      </w:r>
    </w:p>
    <w:p>
      <w:r>
        <w:t>Interjeté par la partie qui a succombé dans ses conclusions libératoires et a donc qualité pour recourir ( art. 76 al. 1 LTF ), le recours est dirigé contre une décision finale ( art. 90 LTF ) rendue en matière civile ( art. 72 al. 1 LTF ) par un tribunal supérieur statuant en dernière instance cantonale ( art. 75 LTF ). Les intimés mettent en doute le fait que la présente affaire atteigne la valeur litigieuse minimale de 30'000 fr. exigée à l' art. 74 al. 1 let. b LTF . En cas de recours contre une décision finale, la valeur litigieuse est déterminée par les conclusions restées litigieuses devant l'autorité précédente ( art. 51 al. 1 let. a LTF ). En l'espèce, la recourante concluait dans son appel, principalement, à l'annulation du jugement du 16 octobre 2013 la condamnant à verser la somme de 51'409 fr.60 aux intimés et au renvoi de la cause au Tribunal de première instance; dans la motivation de son mémoire, elle contestait que les intimés puissent "obtenir le paiement de leurs honoraires" et demandait qu'"ils soient astreints à rembourser les sommes perçues à titre de provision". Il faut en déduire que, devant la Cour de justice, le litige portait en tout cas sur le montant de 51'409 fr.60, de sorte que la présente cause atteint le seuil fixé pour la recevabilité du recours en matière civile. Déposé en temps utile ( art. 46 al. 1 let. b et art. 100 al. 1 LTF ) et dans les formes prévues par la loi ( art. 42 LTF ), le recours est en principe recevable, l'examen des griefs particuliers étant réservé.</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140 III 16 consid. 1.3.1 p. 18; 137 II 353 consid. 5.1 p. 356; 136 I 184 consid. 1.2 p. 187), au même titre que la partie qui invoque une violation de l'interdiction constitutionnelle de l'arbitraire dans l'appréciation des preuves et l'établissement des faits (cf. art. 106 al. 2 LTF ; ATF 133 II 249 consid. 1.4.3 p. 254 s.).</w:t>
      </w:r>
    </w:p>
    <w:p>
      <w:r>
        <w:rPr>
          <w:b/>
        </w:rPr>
        <w:t>E. 2</w:t>
      </w:r>
    </w:p>
    <w:p>
      <w:r>
        <w:t>La recourante se plaint tout d'abord d'arbitraire dans l'établissement des faits. La cour cantonale aurait écarté sans raison ni motivation plusieurs faits présentés en première instance et prouvés par pièces, lesquels démontreraient les violations du mandat commises par les intimés. Les faits en question portent sur l'inaction dont les avocats auraient fait preuve à la suite des communications de la recourante des 8 avril 2009, 20 avril 2009, 23 septembre 2009 et 26 septembre 2009. D'une part, la mandante explique que, dans les trois derniers documents cités, elle instruisait l'intimé A.________ de prendre des mesures conservatoires afin que son père cesse de dilapider sa fortune, dont il convenait par ailleurs d'établir l'ampleur; elle demandait par ailleurs aux avocats de réclamer leurs honoraires dans le cadre de l'action civile jointe au pénal. D'autre part, la recourante observe qu'après avoir pensé que la provision de 40'000 fr. suffisait jusqu'à la fin de la procédure, ce qu'elle exprimait dans son courriel du 8 avril 2009, elle avait, dans le pli recommandé du 20 avril 2009, soumis le paiement d'honoraires supplémentaires à deux conditions, à savoir un devis et une issue favorable.</w:t>
      </w:r>
    </w:p>
    <w:p>
      <w:r>
        <w:rPr>
          <w:b/>
        </w:rPr>
        <w:t>E. 2.1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2.2</w:t>
      </w:r>
    </w:p>
    <w:p>
      <w:r>
        <w:t>La recourante soutient que les intimés n'ont pas donné suite à ses instructions sur deux points, ce qui constituait des manquements contractuels, et que les instances cantonales ne pouvaient pas écarter ces faits sans verser dans l'arbitraire. Pour que le juge puisse retenir un fait, encore faut-il que celui-ci ait été allégué, selon la maxime des débats applicable en l'occurrence ( art. 55 al. 1 CPC ), et qu'il l'ait été de manière régulière. En l'espèce, la recourante n'a pas allégué les faits en question dans son mémoire de réponse du 5 avril 2012, mais, pour la première fois, lors des plaidoiries finales devant le juge de première instance, puis dans son appel. Or, intervenues après l'audience de débats d'instruction sans qu'une exception ne soit réalisée, ces allégations étaient manifestement tardives (cf. art. 221 al. 1 let . d, art. 226 al. 2, art. 229 al. 1, art. 317 al. 1 CPC ). Certes, la recourante avait déposé en première instance le courriel du 8 avril 2009, ainsi que les courriers recommandés des 20 avril et 23 septembre 2009, mais ces moyens de preuve ne sauraient suppléer à l'absence d'allégués sur les prétendus manquements imputés aux intimés. En ce qui concerne le montant des honoraires d'avocat, la cour cantonale a examiné si le silence opposé par les intimés au courrier du 20 avril 2009 pouvait être interprété comme valant acceptation des conditions de rémunération proposées dans le pli en question; elle est parvenue à la conclusion que tel n'était pas le cas et a retenu l'absence d'accord tacite des parties à ce sujet. La recourante ne formule aucun grief d'arbitraire contre cette constatation, de sorte qu'il n'y a pas lieu de revenir sur ce point. Le moyen tiré d'une violation de l' art. 9 Cst. se révèle mal fondé.</w:t>
      </w:r>
    </w:p>
    <w:p>
      <w:r>
        <w:rPr>
          <w:b/>
        </w:rPr>
        <w:t>E. 3.1</w:t>
      </w:r>
    </w:p>
    <w:p>
      <w:r>
        <w:t>Selon la recourante, le Tribunal de première instance aurait dû faire droit à sa demande de report d'audience du 6 mai 2013, liée à une incapacité psychique et physique d'être auditionnée, et ne pouvait procéder à l'audition des intimés sans qu'elle puisse les interroger. En ne le reconnaissant pas, la cour cantonale aurait violé le droit d'être entendu de la recourante.</w:t>
      </w:r>
    </w:p>
    <w:p>
      <w:r>
        <w:rPr>
          <w:b/>
        </w:rPr>
        <w:t>E. 3.2</w:t>
      </w:r>
    </w:p>
    <w:p>
      <w:r>
        <w:t>L'audience convoquée pour le 6 mai 2013 avait pour objet l'audition des parties, requise à titre de preuve par les demandeurs et par la défenderesse (cf. ordonnance du 10 avril 2013 du Tribunal de première instance); sur la citation à comparaître, il était précisé qu'en application de l' art. 68 al. 4 CPC , la comparution personnelle des parties était exigée. Le jour même de l'audience, la recourante, qui n'était alors plus représentée par un avocat, a fait savoir au tribunal que son état de santé ne lui permettait pas de "supporter" une audition et, en particulier, d'être confrontée aux intimés; elle demandait au juge de convoquer à une nouvelle audience son mari, qu'elle désignait comme représentant. Lorsqu'une partie citée à comparaître personnellement sur la base de l' art. 68 al. 4 CPC ne se présente pas, les suites du défaut sont régis par les art. 147 ss CPC (Luca Tenchio, in Basler Kommentar, Schweizerische Zivilprozessordnung, 2010, n° 22 ad art. 68 CPC ). En vertu de l' art. 148 al. 1 CPC , le tribunal peut citer les parties à une nouvelle audience lorsque la partie défaillante en fait la requête et rend vraisemblable que le défaut ne lui est pas imputable ou n'est imputable qu'à une faute légère. Tel sera le cas d'une maladie subite d'une certaine gravité qui empêche la partie de se présenter ou de prendre à temps les dispositions nécessaires (Denis Tappy, in Code de procédure civile commenté, 2011, n° 14 ad art. 148 CPC , p. 599 s.; Niccolò Gozzi, in Basler Kommentar, Schweizerische Zivilprozessordnung, 2010, n° 20 ad art. 148 CPC ). En l'espèce, l'empêchement médical invoqué par la recourante ne résultait manifestement pas d'une atteinte subite, mais d'un état de santé préexistant appelé à perdurer. En réalité, si la recourante ne pouvait être entendue personnellement pour des raisons médicales, il lui appartenait de solliciter à temps d'être dispensée de comparaître à l'audience du 6 mai 2013 et de pouvoir s'y faire représenter; son représentant aurait alors été en mesure de poser des questions aux intimés ( art. 68 al. 1 CPC ; art. 204 al. 3 let. b CPC par analogie; Nicolas Jeandin, in Code de procédure civile commenté, 2011, n° 36 ad art. 68 CPC ). Dans ces conditions, le tribunal pouvait, sans violer le droit d'être entendu de la recourante, refuser de donner suite à la demande de report d'audience et procéder comme prévu à l'interrogatoire des intimés. Le grief tiré d'une violation de l' art. 29 al. 2 Cst. doit être écarté.</w:t>
      </w:r>
    </w:p>
    <w:p>
      <w:r>
        <w:rPr>
          <w:b/>
        </w:rPr>
        <w:t>E. 4.1</w:t>
      </w:r>
    </w:p>
    <w:p>
      <w:r>
        <w:t>En dernier lieu, la recourante fait valoir que la cour cantonale a méconnu l' art. 398 al. 2 CO et l'art. 12 de la loi fédérale sur la libre circulation des avocats du 23 juin 2000 (LLCA; RS 935.61). Elle invoque plusieurs violations par les intimés de leurs devoirs contractuels, lesquelles justifieraient une annulation des notes d'honoraires, voire une réduction substantielle de ceux-ci. Ainsi, les avocats auraient méconnu leur devoir d'information, en ne renseignant pas la mandante sur le montant approximatif des honoraires après avoir exigé une provision insuffisante. Par ailleurs, une mauvaise exécution du mandat résulterait du fait que, d'une part, les intimés n'auraient pas donné suite aux instructions de la recourante à propos de l'ampleur et de la conservation du patrimoine de son père et que, d'autre part, ils n'auraient pas inclus leurs honoraires dans les prétentions civiles de la victime. Enfin, la recourante critique la manière dont les avocats ont mené les négociations avec les conseils de son père et le résultat obtenu.</w:t>
      </w:r>
    </w:p>
    <w:p>
      <w:r>
        <w:rPr>
          <w:b/>
        </w:rPr>
        <w:t>E. 4.2</w:t>
      </w:r>
    </w:p>
    <w:p>
      <w:r>
        <w:t>Il ne ressort pas de l'état de fait de l'arrêt attaqué que les intimés n'ont pas fourni à la recourante les éclaircissements nécessaires au sujet du montant des honoraires d'avocat. Ce fait n'a pas non plus été allégué dans la procédure cantonale, la recourante affirmant alors que les avocats n'avaient pas répondu à son courrier du 20 avril 2009 et que ce silence valait acceptation des conditions de rémunération proposées dans le pli en question. Le manquement invoqué repose ainsi sur un fait nouveau que le Tribunal fédéral ne peut pas prendre en compte ( art. 99 al. 1 LTF ). De même, les deux violations du mandat reprochées ensuite aux intimés se fondent sur des faits qui ne figurent pas dans l'arrêt attaqué et qui, comme déjà relevé (consid. 2.2 supra), n'ont pas été omis arbitrairement par les instances précédentes, faute d'allégation en bonne et due forme. S'agissant des négociations qui ont abouti au projet de transaction de début 2010, il n'est pas établi qu'elles auraient été menées par les intimés en violation des instructions claires de leur mandante. Certes, l'intéressée a suggéré aux avocats, en avril 2009, d'exiger le versement d'un acompte immédiat de 300'000 fr. à 500'000 fr., avant d'ordonner, en septembre 2009, de cesser les pourparlers. Mais, deux mois plus tard, elle a elle-même demandé la reprise des négociations alors qu'aucun capital n'avait été versé. Et lorsqu'elle refuse le projet de transaction établi début 2010, elle s'empresse de négocier aussitôt un accord similaire avec sa famille. Pour le reste, comme la cour cantonale l'expose de manière convaincante, aucun élément ne permet de conclure que les avocats auraient conduit les négociations et établi un projet de transaction d'une manière contraire aux intérêts de la recourante. En tant qu'il est recevable, le moyen tiré d'une violation de l' art. 398 al. 2 CO et de l' art. 12 LLCA se révèle dès lors mal fondé.</w:t>
      </w:r>
    </w:p>
    <w:p>
      <w:r>
        <w:rPr>
          <w:b/>
        </w:rPr>
        <w:t>E. 5</w:t>
      </w:r>
    </w:p>
    <w:p>
      <w:r>
        <w:t>Sur le vu de ce qui précède, le recours sera rejeté dans la mesure où il est recevable. En conséquence, la recourante, qui succombe, prendra à sa charge les frais judiciaires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