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467/2016 vom 8. Februar 2017</w:t>
      </w:r>
    </w:p>
    <w:p>
      <w:r>
        <w:t>Bundesgericht, 2017-02-08, FR</w:t>
      </w:r>
    </w:p>
    <w:p>
      <w:r>
        <w:rPr>
          <w:b/>
        </w:rPr>
        <w:t xml:space="preserve">Quelle: </w:t>
      </w:r>
      <w:r>
        <w:t>https://mcp.opencaselaw.ch/entscheid/bger_4A_467_2016</w:t>
      </w:r>
    </w:p>
    <w:p>
      <w:r>
        <w:t>FR: TF 4A 467/2016 du 8 février 2017</w:t>
      </w:r>
    </w:p>
    <w:p>
      <w:r>
        <w:t>IT: TF 4A 467/2016 del 8 febbraio 2017</w:t>
      </w:r>
    </w:p>
    <w:p>
      <w:pPr>
        <w:pStyle w:val="Heading2"/>
      </w:pPr>
      <w:r>
        <w:t>Regeste</w:t>
      </w:r>
    </w:p>
    <w:p>
      <w:r>
        <w:t>contrat de travail, convention collective | Droit des contrats</w:t>
      </w:r>
    </w:p>
    <w:p>
      <w:pPr>
        <w:pStyle w:val="Heading2"/>
      </w:pPr>
      <w:r>
        <w:t>Erwägungen</w:t>
      </w:r>
    </w:p>
    <w:p>
      <w:r>
        <w:rPr>
          <w:b/>
        </w:rPr>
        <w:t>E. 1</w:t>
      </w:r>
    </w:p>
    <w:p>
      <w:r>
        <w:t>D'après les pièces produites, X.________ SA a effectivement repris les actifs et passifs de....________ AG par contrat de fusion du... 2016. L'inscription dans la FOSC est intervenue le... 2016. X.________ SA a dès lors succédé ex lege à....________ AG en qualité de partie à la présente procédure ( art. 17 al. 3 PCF par renvoi de l' art. 71 LTF ; arrêt 4A_177/2015 du 16 juin 2015 consid. 1; sous l'OJ, ATF 106 II 346 consid. 1). Le rubrum du présent arrêt tient compte de cette modification (cf. au surplus infra consid. 4).</w:t>
      </w:r>
    </w:p>
    <w:p>
      <w:r>
        <w:rPr>
          <w:b/>
        </w:rPr>
        <w:t>E. 2.1</w:t>
      </w:r>
    </w:p>
    <w:p>
      <w:r>
        <w:t>Le recours satisfait sur le principe aux conditions de recevabilité du recours en matière civile, en particulier quant à l'exigence d'une valeur litigieuse minimale de 15'000 fr. ( art. 74 al. 1 let. a LTF ) et quant au respect du délai ( art. 100 al. 1 LTF en lien avec l' art. 46 al. 1 let. b LTF ).</w:t>
      </w:r>
    </w:p>
    <w:p>
      <w:r>
        <w:rPr>
          <w:b/>
        </w:rPr>
        <w:t>E. 2.2</w:t>
      </w:r>
    </w:p>
    <w:p>
      <w:r>
        <w:t>Le Tribunal fédéral applique le droit d'office, à l'exception des droits fondamentaux qui sont soumis au principe d'allégation ( art. 106 LTF ; ATF 142 III 364 consid. 2.4 p. 368 et les arrêts cités). Il apprécie librement la portée juridique des faits retenus dans l'arrêt attaqué ( art. 105 al. 1 LTF ), sans être lié par l'argumentation des parties, ni par la motivation retenue par l'autorité précédente. Eu égard, toutefois, à l'exigence de motivation qu'impose l' art. 42 al. 2 LTF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140 III 115 consid. 2; 137 III 580 consid. 1.3).</w:t>
      </w:r>
    </w:p>
    <w:p>
      <w:r>
        <w:rPr>
          <w:b/>
        </w:rPr>
        <w:t>E. 3.1</w:t>
      </w:r>
    </w:p>
    <w:p>
      <w:r>
        <w:t>L'employeuse reproche à l'autorité précédente d'avoir interprété de façon contraire au droit fédéral l'intitulé de l'annexe 1 CCT 2010 et de l'annexe 2 CCT 2013, qui détermine l'application du régime spécial des salaires. L'adverbe anciennement, dans l'expression «anciennement soumis à la 'CCT du personnel avec salaire mensuel du 1er janvier 2009'», impliquerait que seuls les employés auxquels cette CCT a effectivement été appliquée à l'époque où elle était en vigueur pourraient se prévaloir du régime spécial prévu dans les annexes précitées. Seraient en revanche exclus les employés auxquels cette CCT a été appliquée rétroactivement, après que le Tribunal fédéral eut rendu son arrêt du 27 novembre 2012.</w:t>
      </w:r>
    </w:p>
    <w:p>
      <w:r>
        <w:rPr>
          <w:b/>
        </w:rPr>
        <w:t>E. 3.2</w:t>
      </w:r>
    </w:p>
    <w:p>
      <w:r>
        <w:t>Les clauses d'une convention collective ayant un effet direct et impératif sur les contrats individuels entre employeurs et employés qu'elles lient (cf. art. 357 al. 1 CO ) sont dites clauses normatives. Elles s'interprètent de la même manière qu'une loi ( ATF 136 III 283 consid. 2.3.1 p. 284). Tel est le cas, en particulier, des clauses définissant à quelle catégorie de travailleurs s'applique la convention collective (arrêt précité 4A_163/2012 consid. 4.1).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 des contrats (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 ATF 133 III 213 consid. 5.2; plus récent, arrêt 4A_335/2016 du 30 novembre 2016 consid. 3.1).</w:t>
      </w:r>
    </w:p>
    <w:p>
      <w:r>
        <w:rPr>
          <w:b/>
        </w:rPr>
        <w:t>E. 3.3</w:t>
      </w:r>
    </w:p>
    <w:p>
      <w:r>
        <w:t>Selon l'annexe 1 de la CCT 2010 et l'annexe 2 de la CCT 2013, le régime salarial spécial s'applique au «personnel anciennement soumis à la 'CCT du personnel avec salaire mensuel du 1er janvier 2009'». De l'aveu même de l'employeuse, il s'agissait d'éviter que les travailleurs soumis à la CCT 2009 pour le personnel mensualisé voient leur salaire diminuer consécutivement à la nouvelle CCT 2010. Il est constant que pendant la période du 1er janvier 2009 au 30 juin 2010, soit sous l'empire des deux CCT 2009, l'employée a travaillé à un taux d'activité supérieur à 50%. Compte tenu de l'arrêt précité 4A_163/2012, cette constatation entraîne l'application de la CCT 2009 pour le personnel mensualisé. Suite à cette jurisprudence, l'employeuse a du reste accepté de verser a posteriori la différence de salaire résultant de l'application de la CCT pour le personnel mensualisé en lieu et place de la CCT pour le personnel auxiliaire. Le régime spécial prévu dans les CCT 2010 et 2013 devait permettre au personnel mensualisé (au sens de la CCT 2009) de ne pas subir de perte de salaire. Il va de soi que sont concernés tous les employés qui entraient objectivement dans le champ d'application de la CCT 2009 pour le personnel mensualisé, et non pas seulement ceux auxquels l'employeuse avait bien voulu appliquer en son temps cette CCT plutôt que la CCT concernant le personnel auxiliaire. De même que l'interprétation erronée de la clause relative au champ d'application de la CCT 2009 pour le personnel mensualisé ne saurait nuire à l'employée, de même cette erreur ne saurait se répercuter sur les CCT suivantes. On ne saurait chercher un sens caché à l'adverbe «anciennement», qui voulait simplement dire que la CCT 2009 n'était plus applicable, ayant été remplacée par la CCT 2010. Le grief confine à la témérité.</w:t>
      </w:r>
    </w:p>
    <w:p>
      <w:r>
        <w:rPr>
          <w:b/>
        </w:rPr>
        <w:t>E. 3.4</w:t>
      </w:r>
    </w:p>
    <w:p>
      <w:r>
        <w:t>En appel, l'employeuse s'était prévalue des courriers échangés avec le syndicat SSP entre mai et septembre 2013 pour en déduire que la volonté réelle des parties était d'appliquer le régime général des salaires à la travailleuse. La Cour de justice avait rétorqué que la discussion n'avait pas porté sur le choix du régime salarial à appliquer, de sorte qu'on ne pouvait pas en déduire une volonté de renoncer au régime spécial. De toute façon, un éventuel accord serait nul dès lors que les clauses de convention collective relatives au salaire sont des clauses impératives, de sorte que les parties ne pouvaient pas y déroger dans un sens défavorable à la travailleuse, sous peine de nullité ( art. 357 al. 2 CO ). Devant l'autorité de céans, l'employeuse ne conteste pas le caractère impératif du régime salarial et la nullité d'un accord contraire. Elle fait cependant valoir que le syndicat a demandé l'application du régime général pour l'employée, plus précisément l'adaptation à 3'920 fr. prévue par ledit régime. Comme la volonté du syndicat signataire de la convention collective allait dans le même sens que l'employeuse, elle aurait dû être prise en compte comme critère d'interprétation. L'argument est inopérant. La Cour de justice a interprété de façon littérale l'intitulé de l'annexe 1 à la CCT 2010 et de l'annexe 2 à la CCT 2013; elle a constaté que le sens résultant de cette interprétation littérale était conforme au but poursuivi par les parties auxdites conventions. Une telle interprétation doit a priori l'emporter sur une éventuelle volonté divergente des parties signataires des deux CCT (cf. supra, consid. 3.2). Quoi qu'il en soit, la Cour de justice n'a pas constaté quelle était la volonté réelle des cosignataires des CCT 2010 (syndicat PUSH) et 2013 (syndicats PUSH et SSP). L'employeuse n'a formé aucun grief contre l'état de fait de l'arrêt attaqué, ce qui clôt toute discussion. Pour le surplus, il n'y a pas à revenir sur l'analyse de la Cour de justice selon laquelle un éventuel accord entre l'employeuse et la travailleuse visant à écarter l'application du régime spécial serait de toute façon frappé de nullité ( art. 42 al. 2 LTF ; cf. supra consid. 2.2).</w:t>
      </w:r>
    </w:p>
    <w:p>
      <w:r>
        <w:rPr>
          <w:b/>
        </w:rPr>
        <w:t>E. 3.5</w:t>
      </w:r>
    </w:p>
    <w:p>
      <w:r>
        <w:t>L'employeuse ne discute pas les autres points de l'arrêt attaqué, notamment les montants retenus.</w:t>
      </w:r>
    </w:p>
    <w:p>
      <w:r>
        <w:rPr>
          <w:b/>
        </w:rPr>
        <w:t>E. 4</w:t>
      </w:r>
    </w:p>
    <w:p>
      <w:r>
        <w:t>En définitive, le recours doit être rejeté. Le présent arrêt constate au considérant 1 que X.________ SA succède ex lege à....________ AG dans la procédure fédérale. Le rubrum de la présente décision mentionne cette modification. Il n'est pas nécessaire de modifier le dispositif de l'arrêt attaqué comme le requiert l'intimée; il suffit de constater que l'art. 83 al. 4 in fine CPC contient une disposition semblable à l' art. 17 al. 3 PCF , entraînant dans ce cas un changement de parties ex lege dans la procédure cantonale (cf. GROSS/ZUBER, in Berner Kommentar, 2012, n° 24 ss ad art. 83 CPC ; NICOLAS JEANDIN, in Code de procédure civile commenté, 2011, n° 28 s. ad art. 83 CPC ). L'employeuse, qui succombe, supportera les frais de la présente procédure, fixés conformément à l' art. 65 al. 4 let . c LTF. Elle versera une indemnité de dépens à la travailleuse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