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467/2007 vom 8. Februar 2008</w:t>
      </w:r>
    </w:p>
    <w:p>
      <w:r>
        <w:t>Bundesgericht, 2008-02-08, DE</w:t>
      </w:r>
    </w:p>
    <w:p>
      <w:r>
        <w:rPr>
          <w:b/>
        </w:rPr>
        <w:t xml:space="preserve">Quelle: </w:t>
      </w:r>
      <w:r>
        <w:t>https://mcp.opencaselaw.ch/entscheid/bger_4A_467_2007</w:t>
      </w:r>
    </w:p>
    <w:p>
      <w:r>
        <w:t>FR: TF 4A 467/2007 du 8 février 2008</w:t>
      </w:r>
    </w:p>
    <w:p>
      <w:r>
        <w:t>IT: TF 4A 467/2007 del 8 febbraio 2008</w:t>
      </w:r>
    </w:p>
    <w:p>
      <w:pPr>
        <w:pStyle w:val="Heading2"/>
      </w:pPr>
      <w:r>
        <w:t>Regeste</w:t>
      </w:r>
    </w:p>
    <w:p>
      <w:r>
        <w:t>Markenschutz; unlauterer Wettbewerb | Immaterialgüter-, Wettbewerbs- und Kartellrecht</w:t>
      </w:r>
    </w:p>
    <w:p>
      <w:pPr>
        <w:pStyle w:val="Heading2"/>
      </w:pPr>
      <w:r>
        <w:t>Erwägungen</w:t>
      </w:r>
    </w:p>
    <w:p>
      <w:r>
        <w:rPr>
          <w:b/>
        </w:rPr>
        <w:t>E. 1</w:t>
      </w:r>
    </w:p>
    <w:p>
      <w:r>
        <w:t>Die Beschwerden betreffen dieselben Parteien und richten sich gegen denselben Entscheid der Vorinstanz. Es rechtfertigt sich, die beiden Verfahren gemeinsam zu behandeln.</w:t>
      </w:r>
    </w:p>
    <w:p>
      <w:r>
        <w:rPr>
          <w:b/>
        </w:rPr>
        <w:t>E. 2</w:t>
      </w:r>
    </w:p>
    <w:p>
      <w:r>
        <w:t>Gegenstand des angefochtenen Urteils bildet eine Zivilstreitigkeit. Dagegen ist die Beschwerde in Zivilsachen zulässig ( Art. 72 BGG ). Die Vorinstanz hat kantonal letztinstanzlich ( Art. 75 BGG ) als einzige Instanz gemäss Art. 58 Abs. 3 MSchG ( Art. 74 Abs. 2 lit. b BGG ) über die Begehren der Klägerin abschliessend ( Art. 90 BGG ) entschieden.</w:t>
      </w:r>
    </w:p>
    <w:p>
      <w:r>
        <w:rPr>
          <w:b/>
        </w:rPr>
        <w:t>E. 3.1</w:t>
      </w:r>
    </w:p>
    <w:p>
      <w:r>
        <w:t>Nach Art. 42 Abs. 1 BGG haben Rechtsschriften die Begehren und deren Begründung zu enthalten ( BGE 133 III 489 E. 3). Neue Begehren sind unzulässig ( Art. 99 Abs. 2 BGG ). Die Klägerin hält in ihren Begehren 2a und b daran fest, dass der Beklagten der Gebrauch des Zeichens "WMC" für Uhren und Dienstleistungen im Zusammenhang mit Uhren - im geschäftlichen Verkehr für die Bezeichnung ihres Geschäftsbetriebs auch "WMC-Schaffhausen" - zusätzlich zu verbieten sei. Insofern entsprechen ihre Begehren denjenigen, die sie vor Vorinstanz gestellt hatte. Die Ergänzung ihres Begehrens in lit. 2a durch den Zusatz "zumindest aber im Zusammenhang mit dem Vertrieb von Uhren und mit Uhren zusammenhängenden Dienstleistungen" bedeutet eine Einschränkung und ist daher entgegen den in der Vernehmlassung des Obergerichts geäusserten Zweifeln zulässig.</w:t>
      </w:r>
    </w:p>
    <w:p>
      <w:r>
        <w:rPr>
          <w:b/>
        </w:rPr>
        <w:t>E. 3.2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(verfassungsrechtlichen) Verfahrensvorschrift zustande gekommen sind. Andernfalls können Vorbringen mit Bezug auf einen Sachverhalt, der von den Feststellungen im angefochtenen Entscheid abweicht, nicht berücksichtigt werden ( BGE 133 II 249 E. 1.4.3 S. 255). Keine der Parteien rügt genügend, die Sachverhaltsfeststellungen der Vorinstanz seien willkürlich oder etwa in Verletzung von Verfahrensrechten zustande gekommen. Soweit sie Rügen im Sinne von Art. 95 ff. BGG auf einen Sachverhalt stützen, der von den Feststellungen der Vorinstanz abweicht, sind sie nicht zu hören.</w:t>
      </w:r>
    </w:p>
    <w:p>
      <w:r>
        <w:rPr>
          <w:b/>
        </w:rPr>
        <w:t>E. 3.3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Die Vorinstanz hat die Akronyme "IWC" und "WMC" als markenrechtlich nicht verwechselbar qualifiziert, im Übrigen aber offen gelassen, ob die Klägerin der Beklagten gestützt auf Art. 13 MSchG den Gebrauch der umstrittenen Zeichen verbieten könnte; sie hat erkannt, dass der von der Klägerin beanstandete Gebrauch der Zeichen "WMC International Watch Group" und "The WMC International Watch Group Switzerland" durch die Beklagte im Geschäftsverkehr und auf Uhren sowie für Dienstleistungen in Zusammenhang mit Uhren dem Gebot der Lauterkeit im Wettbewerb widerspricht. Keine der Parteien stellt in Frage, dass markenrechtlich die beiden Zeichen "IWC" und "WMC" in Alleinstellung nicht verwechselbar seien, und beide Parteien rügen allein eine Verletzung der massgebenden Bestimmungen des UWG, während eine Verletzung der Normen des MSchG nicht geltend gemacht wird. Da die Normen des UWG im Verhältnis zum Markenschutz nicht subsidiär sind, sondern einen eigenständigen Anwendungsbereich haben ( BGE 129 III 353 E. 3.3 S. 358), besteht kein Anlass, den markenrechtlichen Schutzumfang von Amtes wegen zu prüfen.</w:t>
      </w:r>
    </w:p>
    <w:p>
      <w:r>
        <w:rPr>
          <w:b/>
        </w:rPr>
        <w:t>E. 4</w:t>
      </w:r>
    </w:p>
    <w:p>
      <w:r>
        <w:t>Nach Art. 2 UWG ist unlauter und widerrechtlich jedes täuschende oder in anderer Weise gegen den Grundsatz von Treu und Glauben verstossende Verhalten oder Geschäftsgebaren, welches das Verhältnis zwischen Mitbewerbern oder zwischen Anbietern und Abnehmern beeinflusst. Die Generalklausel von Art. 2 UWG wird in den Art. 3 bis 8 UWG durch Spezialtatbestände konkretisiert. Aufgrund der Generalklausel ist zunächst zu beurteilen, ob überhaupt ein Verhalten vorliegt, das den Wettbewerb beeinflussen kann. Trifft dies zu, so ist im Sinne des Zweckartikels zu fragen, in welcher Weise das umstrittene Verhalten seiner Art nach die Lauterkeit oder Unverfälschtheit des Wettbewerbs beeinträchtigen könnte, damit den Zielen der Erhaltung der Geschäftsmoral und der Funktionsfähigkeit des Wettbewerbs Rechnung getragen werden kann. Wird so die Art und Weise eines Verhaltens in Bezug gesetzt zur erwünschten Fairness der Wettbewerber und zum zweckmässigen Funktionieren des Wettbewerbs, ist zu prüfen, ob sich das Verhalten seiner Art nach einem der Sondertatbestände der Art. 3 bis 8 UWG zuordnen lässt ( BGE 133 III 431 E. 4.3 S. 435).</w:t>
      </w:r>
    </w:p>
    <w:p>
      <w:r>
        <w:rPr>
          <w:b/>
        </w:rPr>
        <w:t>E. 4.1</w:t>
      </w:r>
    </w:p>
    <w:p>
      <w:r>
        <w:t>Der Gebrauch von Kennzeichen zur Positionierung von Unternehmungen, Waren, Leistungen etc. im Markt beeinflusst den Wettbewerb, denn Kennzeichnungen sind objektiv geeignet, den Erfolg gewinnstrebiger Unternehmen im Kampf um Abnehmer zu verbessern und die Marktanteile zu vergrössern. Ein Wettbewerbsverhältnis zu den betroffenen Abnehmern, Anbietern oder Konkurrenten ist für die Verfälschung des Wettbewerbs durch unlauteres Handeln nicht vorausgesetzt ( BGE 126 III 198 E. 2c S. 202; 120 II 76 E. 3a S. 78). Mit der irreführenden Verwendung von Kennzeichen kann die Transparenz der Marktverhältnisse beeinträchtigt werden, womit sowohl der erwünschte Leistungswettbewerb als auch das Ziel der Wahrheit und Klarheit des Marktauftritts beeinträchtigt werden (vgl. David/Jacobs, Schweizerisches Wettbewerbsrecht, 4. Aufl., Bern 2005, S. 17). Täuschung und Irreführung sind insbesondere in den Art. 3 lit. a-g und lit. i-m UWG sowie in Art. 8 UWG für konkretere Tatbestände geregelt, ohne dass damit allerdings das in der Generalklausel von Art. 2 UWG ausdrücklich als unlauter bezeichnete täuschende Verhalten abschliessend umschrieben wäre (vgl. Baudenbacher, Lauterkeitsrecht, Kommentar zum Gesetz gegen den unlauteren Wettbewerb [UWG], N. 43 zu Art. 2 UWG ). Die Vorinstanz hat zwar zutreffend den Tatbestand von Art. 3 lit. d UWG für einschlägig erachtet, wonach unlauter handelt, wer Massnahmen trifft, die geeignet sind, Verwechslungen mit den Waren, Werken, Leistungen oder dem Geschäftsbetrieb eines anderen herbeizuführen. Die Klägerin bringt aber in ihrer Beschwerde zu Recht vor, dass die Ausbeutung des Rufes dem Verbot täuschenden oder irreführenden Verhaltens auch dann widerspricht, wenn keine Verwechslungen zu befürchten sind (unten E. 4.3). Insofern kommt auch Art. 3 lit. e UWG in Betracht, wonach unter anderem unlauter handelt, wer sich, seine Waren, Werke und Leistungen in anlehnender Weise mit anderen, ihren Waren, Werken oder Leistungen vergleicht.</w:t>
      </w:r>
    </w:p>
    <w:p>
      <w:r>
        <w:rPr>
          <w:b/>
        </w:rPr>
        <w:t>E. 4.2</w:t>
      </w:r>
    </w:p>
    <w:p>
      <w:r>
        <w:t>Unter den bisweilen als wettbewerbsrechtlicher Kennzeichenschutz bezeichneten Tatbestand von Art. 3 lit. d UWG fallen sämtliche Verhaltensweisen, bei denen das Publikum durch die Schaffung von Verwechslungsgefahr irregeführt wird. Die Gefahr der Verwechslung kann entstehen, wenn die Ware eines Konkurrenten wegen ihrer äusseren Ausstattung für das bereits auf dem Markt befindliche Erzeugnis eines anderen gehalten werden kann. Eine direkte warenbezogene Verwechselbarkeit ist aber nicht erforderlich. Sie kann auch bloss eine mittelbare oder indirekte sein, indem beim Publikum der Eindruck erweckt wird, die verwechselbar gekennzeichneten oder ausgestatteten Waren stammten aus Betrieben, die wirtschaftlich eng verbunden seien ( BGE 116 II 365 E. 3a S. 368; 128 III 146 E. 2a S.148 f.; 127 III 160 E. 2a S. 165 f., je mit Hinweisen). Die Gefahr der Verwechslung mit ähnlich gekennzeichneten Produkten ist anhand der tatsächlichen Warenpräsentation in gesamter Würdigung aller Umstände in Betracht zu ziehen, die für den durchschnittlich aufmerksamen Käufer die Individualisierung der gekennzeichneten Produkte mitprägen (vgl. BGE 116 II 365 E. 3a und 4a; Urteil 4C.169/2004 vom 8. September 2004 E. 2.4, publ. in sic! 3/2005, S. 221). Das Risiko von Verwechslungen ist umso grösser, je näher sich die Waren sind, für welche die in Frage stehenden Zeichen gebraucht werden (Urteil 4P.222/2006 vom 21. Dezember 2006 E. 3.1, publ. in sic! 5/2007, S. 374; BGE 126 III 315 E. 6b/bb S. 320; 122 III 382 E. 3a S. 387, je mit Hinweisen). Der Bestand eines prioritätsälteren Zeichens, das sich aufgrund seiner Bekanntheit im Verkehr durchgesetzt hat, rechtfertigt es, dem jüngeren Wettbewerber Einschränkungen in Bezug auf die Verwendung seines Zeichens aufzuerlegen, um Verwechslungen zu vermeiden (Urteil 4C.240/2006 vom 13. Oktober 2006 E. 2.2.1, publ. in sic! 4/2007, S. 287; BGE 128 III 353 E. 4.3.2 S. 364; 125 III 91 E. 3c S. 93; 116 II 614 E. 5d S. 619).</w:t>
      </w:r>
    </w:p>
    <w:p>
      <w:r>
        <w:rPr>
          <w:b/>
        </w:rPr>
        <w:t>E. 4.3</w:t>
      </w:r>
    </w:p>
    <w:p>
      <w:r>
        <w:t>Nach der Lehre gelten die Rufausbeutung oder die Anlehnung an Leistungen Dritter auch unabhängig von der Gefahr allfälliger Verwechslungen als unlauter (vgl. Hilti, Der Schutz nicht registrierter Kennzeichen, SIWR Bd. III/2, 2. Aufl., Basel 2005, S. 127 f., Baudenbacher, a.a.O., N. 234 ff. zu Art. 2 UWG ; von Büren/Marbach, Immaterialgüter- und Wettbewerbsrecht, 2. Aufl., Bern 2002, Rz. 998 f., S. 205; Pedrazzini/Pedrazzini, Unlauterer Wettbewerb, UWG, 2. Aufl., Bern 2002, Rz. 5.47 ff., S. 77 ff.). Rufausbeutung durch bezugnehmende Werbung im Sinne von Art. 3 lit. e UWG kann insbesondere darin bestehen, dass die fremde Ware oder Leistung derart in der eigenen Werbung eingesetzt werden, dass das Image der Ware auf die eigenen Angebote transferiert wird (Baudenbacher, a.a.O., N. 82 zu Art. 3 lit. e UWG ). In der Rechtsprechung wurde insbesondere die Anlehnung an die Kennzeichnungs- und Werbekraft einer älteren Marke auch unbesehen eigentlicher Fehlzurechnungen als unlauter erachtet, wenn das jüngere Zeichen unmissverständlich eine Botschaft des Inhalts "Ersatz für" oder "gleich gut wie" vermittelt ( BGE 126 III 315 E. 6b/aa S. 320 unter Hinweis auf Art. 3 lit. d UWG ). Zur Verhinderung der Ausnützung berühmter Marken schreibt sodann Art. 15 MSchG einen erweiterten Schutzbereich vor; die Ausbeutung des Rufs berühmter Marken widerspricht dem Gebot der Lauterkeit im Wettbewerb (vgl. Marbach, Markenrecht, SIWR Bd. III, S. 213; David, Basler Kommentar, 2. Aufl., Basel/Genf/München 1999, N. 1 zu Art. 15 MSchG ; Willi, MSchG, Markenschutzgesetz, N. 4 zu Art. 15 MSchG ; vgl. auch BGE 130 III 748 ).</w:t>
      </w:r>
    </w:p>
    <w:p>
      <w:r>
        <w:rPr>
          <w:b/>
        </w:rPr>
        <w:t>E. 4.4</w:t>
      </w:r>
    </w:p>
    <w:p>
      <w:r>
        <w:t>Das Zeichen "IWC" ist für Uhren der Luxusklasse in der Schweiz seit langem bekannt und im Verkehr durchgesetzt, wie die Vorinstanz zutreffend als notorisch feststellt und die Beklagte nicht bestreitet. Dies gilt ebenso für die ausgeschriebene Unternehmensbezeichnung "International Watch Co.", die in der Schweiz seit langem für die von der Klägerin bzw. ihrer Rechtsvorgängerin in Schaffhausen hergestellten Qualitätsuhren bekannt ist. Die seit dem 17. September 2001 in Schaffhausen domizilierte Beklagte bietet nach den Feststellungen der Vorinstanz Qualitätsprodukte für die Werbung an, unter anderem Uhren mit dem - als Marke geschützten - Zeichen "WMC". In ihren Werbeschreiben verwendet die Beklagte unter anderem die Bezeichnungen "WMC International Watch Group" (mit dem Zusatz "Fabrikation feiner Markenuhren") und "The WMC International Watch Group Switzerland".</w:t>
      </w:r>
    </w:p>
    <w:p>
      <w:r>
        <w:rPr>
          <w:b/>
        </w:rPr>
        <w:t>E. 5</w:t>
      </w:r>
    </w:p>
    <w:p>
      <w:r>
        <w:t>Die Vorinstanz hat der Beklagten im angefochtenen Urteil untersagt, im geschäftlichen Verkehr zur Bezeichnung ihres Geschäftsbetriebs die Bezeichnung "WMC International Watch Group" oder "The WMC International Watch Group Switzerland" zu verwenden und/oder Uhren und Dienstleistungen im Zusammenhang mit Uhren mit den Bezeichnungen "WMC International Watch Group" oder "The WMC International Watch Group Switzerland" zu versehen, versehen zu lassen, zu bewerben, bewerben zu lassen, in den Verkehr zu bringen und/oder bringen zu lassen. Die Beklagte rügt in ihrer Beschwerde, die Vorinstanz habe damit das Gebot der Lauterkeit im Wettbewerb im Sinne von Art. 2 und 3 UWG zu weit ausgedehnt.</w:t>
      </w:r>
    </w:p>
    <w:p>
      <w:r>
        <w:rPr>
          <w:b/>
        </w:rPr>
        <w:t>E. 5.1</w:t>
      </w:r>
    </w:p>
    <w:p>
      <w:r>
        <w:t>Die Vorinstanz hat im angefochtenen Urteil zunächst die Verwendung der Bezeichnung "The WMC International Watch Group Switzerland" als an sich irreführend im Sinne von Art. 3 lit. b UWG erachtet, weil sie den unwahren Eindruck vermittle, die Firmengruppe, der die Beklagte angehört, werde von der Schweiz aus kontrolliert. Sie hat sodann die Bezeichnung "WMC International Watch Group" im Gesamteindruck als verwechselbar mit "IWC International Watch Co." der Klägerin beurteilt. In diesem Zusammenhang hat sie festgestellt, dass die Beklagte in ihren Werbeschreiben nicht nur der Bezeichnung "WMC International Watch Group" den Slogan "Fabrikation feiner Markenuhren" beifüge, sondern auf ihrer Website (www.wmclogo.com) auch in der aktuellen Version den Hinweis verbreite, dass die WMC-Uhren mit dem U•S•I-Quality Award ausgezeichnet worden seien - eine Auszeichnung, die in der Uhrenbranche nicht bekannt sei. Die Vorinstanz kam zum Schluss, dass die Beklagte unter Berücksichtigung der weiteren Umstände den Anschein der Nähe zu qualitativ hochstehenden Uhren erwecke, die aufgrund der Ähnlichkeit mit der Bezeichnung "IWC International Watch Co.", insbesondere aber auch wegen des gleichen Firmensitzes Schaffhausen, zumindest eine mittelbare - effektiv nicht bestehende - Verbindung mit der Klägerin bzw. deren Zweigniederlassung in Schaffhausen und deren Produkte nahelege. Da das Akronym "IWC" und die Firmenbezeichnung "International Watch Co." aber seit langem für die Klägerin bzw. deren Rechtsvorgängerin und ihre Qualitätsuhren bekannt seien, schaffe die Beklagte mit der Verwendung dieser Bezeichnung die Gefahr der Verwechslung und ihr Verhalten erfülle damit den Tatbestand von Art. 3 lit. d UWG . Ob auch die Bezeichnung "The WMC International Watch Group Switzerland" unter dem Aspekt der Verwechslungsgefahr unlauter sei, liess das Obergericht mit der Begründung offen, diese Bezeichnung sei bereits als unlauter im Sinn von Art. 3 lit. b UWG erkannt worden.</w:t>
      </w:r>
    </w:p>
    <w:p>
      <w:r>
        <w:rPr>
          <w:b/>
        </w:rPr>
        <w:t>E. 5.2</w:t>
      </w:r>
    </w:p>
    <w:p>
      <w:r>
        <w:t>Die Beklagte bestreitet zunächst, dass die Bezeichnung "The WMC International Watch Group Switzerland" irreführend im Sinn von Art. 3 lit. b UWG sei. Ob diese Qualifizierung durch die Vorinstanz einer Überprüfung standhält, ist allerdings unerheblich, wenn die Verwendung der Bezeichnung durch die Beklagte - wie diejenige der Bezeichnung "WMC International Watch Group" - (auch) den Tatbestand von Art. 3 lit. d UWG erfüllt. Das trifft entgegen dem in der Beschwerde vertretenen Standpunkt zu. Zu beachten ist zunächst, dass die Erwägungen der Vorinstanz zur Verwechslungsgefahr der Bezeichnung "WMC International Watch Group" mit den Zeichen der Klägerin ebenso für "The WMC International Watch Group Switzerland" gelten, da sich die beiden von der Beklagten verwendeten Bezeichnungen hinsichtlich der zu beurteilende Frage nicht wesentlich unterscheiden; davon geht im Übrigen auch die Beklagte in ihrer Beschwerde aus. Die Vorinstanz hat zutreffend beachtet, dass die Verwechselbarkeit von Zeichen als solche nach konstanter Rechtsprechung des Bundesgerichts für das gesamte Kennzeichenrecht nach denselben Kriterien zu beurteilen ist (zur Publikation bestimmtes Urteil 4A_221/2007 vom 20. November 2007 E. 4.2.3 mit Verweisen). Es ist daher entgegen der Ansicht der Beklagten nicht zu beanstanden, dass die Vorinstanz die Gefahr der Verwechslung von "WMC International Watch Group" (und damit auch "The WMC International Watch Group Switzerland") einerseits und "IWC International Watch Co." anderseits in Bezug auf die Zeichenähnlichkeit nach denselben Kriterien beurteilt hat, wie dies für Zeichen gelten würde, die als Marken geschützt sind. Die Vorinstanz hat insofern auch durchaus zutreffend den Gesamteindruck der Bezeichnungen als massgebend erachtet und überdies spezifisch lauterkeitsrechtlich die Umstände berücksichtigt, unter denen die Beklagte die umstrittene Bezeichnung verwendet. Dass in Lehre und Rechtsprechung beispielhaft noch andere Umstände erwähnt werden, welche für die wettbewerbsrechtliche Verwechslungsgefahr bedeutsam sein können, spricht nicht gegen die Erheblichkeit der von der Vorinstanz berücksichtigten Sachverhaltselemente. Wenn die Beklagte im Übrigen hervorhebt, dass die Klägerin ausschliesslich teure bis sehr teure Uhren für eine exklusive Kundschaft verkauft, die nur in Juweliergeschäften und Bijouterien erhältlich sind, während sie selbst billige Massenartikel vertreibt, die als Werbegeschenke für die Kunden ihrer Abnehmer bestimmt sind, so weist sie selbst auf den Unterschied im Prestige der entsprechenden Produkte hin. Da sie nach den Feststellungen im angefochtenen Urteil ihre Massenartikel als Qualitätswaren anpreist und gar auf eine für Uhren unbekannte Auszeichnung hinweist, sucht sie durch die Verwendung ähnlicher Bezeichnungen eine gedankliche Verbindung zu der von der Klägerin unter dem bekannten Zeichen "IWC" angebotenen Uhren herzustellen. Die Vorinstanz weist zutreffend darauf hin, dass die von der Beklagten verwendeten Zeichen insbesondere auch wegen dieses Marktauftritts geeignet sind, den Eindruck einer wirtschaftlichen Beziehung der Beklagten zur Klägerin zu erwecken. Der Beklagten kann jedenfalls nicht gefolgt werden, wenn sie die Ansicht vertritt, eine Überschneidung der von ihr angesprochenen Verkehrskreise mit denjenigen der Klägerin sei ausgeschlossen, wenn sie sich an Unternehmen, die Klägerin dagegen an vermögende Privatkunden richte. Vielmehr ist naheliegend, dass die in den angesprochenen Unternehmungen zuständigen Personen das bekannte Zeichen IWC kennen. Die Vorinstanz hat die (indirekte) Verwechslungsgefahr der von der Beklagten verwendeten Bezeichnung "WMC International Watch Group" (und damit auch der Bezeichnung "The WMC International Watch Group Switzerland") mit dem Zeichen "IWC International Watch Co." der Klägerin zutreffend bejaht. Das von der Vorinstanz erlassene Verbot der Verwendung dieser Bezeichnungen für den Geschäftsbetrieb der Beklagten und für Uhren oder Dienstleistungen im Zusammenhang mit Uhren ist bundesrechtskonform. Die Beschwerde der Beklagten ist abzuweisen.</w:t>
      </w:r>
    </w:p>
    <w:p>
      <w:r>
        <w:rPr>
          <w:b/>
        </w:rPr>
        <w:t>E. 6</w:t>
      </w:r>
    </w:p>
    <w:p>
      <w:r>
        <w:t>Die Klägerin beantragt in ihrer Beschwerde, der Beklagten sei zusätzlich zu verbieten, im geschäftlichen Verkehr zur Bezeichnung ihres Geschäftsbetriebs (zumindest aber im Zusammenhang mit dem Vertrieb von Uhren und mit Uhren zusammenhängenden Dienstleistungen) die Bezeichnungen "WMC" und "WMC-Schaffhausen" zu gebrauchen sowie die Buchstabenkombination "WMC" für Uhren und Dienstleistungen im Zusammenhang mit Uhren zu verwenden.</w:t>
      </w:r>
    </w:p>
    <w:p>
      <w:r>
        <w:rPr>
          <w:b/>
        </w:rPr>
        <w:t>E. 6.1</w:t>
      </w:r>
    </w:p>
    <w:p>
      <w:r>
        <w:t>Die Vorinstanz hat den Gebrauch der Bezeichnungen "WMC" und "WMC-Schaffhausen" durch die Beklagte als lauter erachtet in der Erwägung, die Akronyme "IWC" und "WMC" seien weder visuell noch phonetisch verwechselbar. Zur Bezeichnung "WMC-Schaffhausen" wird im angefochtenen Urteil festgestellt, die Klägerin verwende ihr Zeichen "IWC SCHAFFHAUSEN" einerseits zur Kennzeichnung eines Teils ihrer Uhren und anderseits als Bestandteil ihres Namens und als Geschäftsbezeichnung ihrer Zweigniederlassung in Schaffhausen. Da die Klägerin jedoch nur das Begehren stelle, es sei der Beklagten die Verwendung der Bezeichnung "WMC-Schaffhausen" im geschäftlichen Verkehr zur Bezeichnung ihres Geschäftsbetriebes zu verbieten, nicht aber im Zusammenhang mit Uhren oder Dienstleistungen mit Uhren, geht es ihr nach den Erwägungen der Vorinstanz nicht um die isolierte Wirkung dieser Bezeichnung in einer "uhrenorientierten Umgebung und damit auch nicht um den unmittelbaren Vergleich des Erscheinungsbilds der von den Parteien hergestellten bzw. vertriebenen Uhren". Im Übrigen erachtete die Vorinstanz als fraglich, ob durch den geografischen Zusatz "Schaffhausen" der massgebliche Bestandteil "WMC" so abgeschwächt werde, dass eine Verwechslungsgefahr entstehen könne. Da es aber der Klägerin, wie sich aus deren Rechtsbegehren ergebe, nicht konkret um Uhren oder damit zusammenhängende Dienstleistungen gehe, könne die "assoziativ allenfalls speziell aus einem solchen Umfeld abzuleitende Gefahr einer Verwechslung zwischen den Geschäftsbetrieben der Klägerin und der Beklagten jedenfalls ausgeschlossen werden".</w:t>
      </w:r>
    </w:p>
    <w:p>
      <w:r>
        <w:rPr>
          <w:b/>
        </w:rPr>
        <w:t>E. 6.2</w:t>
      </w:r>
    </w:p>
    <w:p>
      <w:r>
        <w:t>Die Klägerin rügt in ihrer Beschwerde zu Recht, dass die Vorinstanz die Lauterkeit des Marktauftritts der Beklagten allein unter dem Gesichtspunkt der eigentlichen Verwechslungsgefahr geprüft und die behauptete Rufausbeutung unberücksichtigt gelassen hat. Auch wenn die Akronyme "IWC" und "WMC" in Alleinstellung selbst für die gleichen Waren nicht verwechselbar sein mögen, wie die Vorinstanz schloss und keine der Parteien bestreitet, so sind sie sich jedenfalls hinreichend ähnlich, um mindestens Assoziationen zu wecken. Denn sie bestehen beide aus drei Buchstaben, wobei zwar nur der letzte identisch ist, die Buchstabenfolge jedoch optisch kaum auseinander zu halten ist, wenn die beiden Zeichen in Grossbuchstaben erscheinen. Denn das grosse W und das grosse M sind sich mindestens bei oberflächlicher Betrachtung höchst ähnlich, sodass optisch ein Unterschied zwischen "WMC" und "MWC" - das dem klägerischen Akronym "IWC" in den letzten beiden Buchstaben entsprechen würde - kaum auszumachen ist. Die Beklagte verwendet aber nach den Feststellungen im angefochtenen Entscheid das Zeichen "WMC" in einer Weise, die nicht anders denn als Anlehnung an das bekannte Zeichen der Klägerin und ihre Luxusuhren gedeutet werden kann und objektiv geeignet ist, bei den Adressaten einen gedanklichen Zusammenhang zu den qualitativ hochstehenden Luxusgütern der Klägerin herzustellen. So hat die Vorinstanz wie erwähnt festgestellt, dass die Beklagte in ihren Werbeschreiben nicht nur der Bezeichnung "WMC International Watch Group" den Slogan "Fabrikation feiner Markenuhren" beifügt, sondern auf ihrer Website (www.wmclogo.com) auch in der aktuellen Version den Hinweis verbreite, dass die WMC-Uhren mit dem U•S•I-Quality Award ausgezeichnet worden seien - eine Auszeichnung, die in der Uhrenbranche nicht bekannt sei. Die Vorinstanz hat in anderem Zusammenhang zutreffend festgestellt, dass insbesondere auch wegen des gleichen Firmensitzes Schaffhausen eine effektiv nicht bestehende Verbindung mit der Klägerin bzw. deren Zweigniederlassung in Schaffhausen und deren Produkten nahegelegt wird. Die Vorinstanz hat jedoch ausser Betracht gelassen, dass es einer eigentlichen Verwechslungsgefahr zwischen den von der Beklagten verwendeten Zeichen "WMC" und "WMC-Schaffhausen" mit dem bekannten Zeichen "IWC" bzw. "IWC-Schaffhausen" der Klägerin nicht bedarf. Unlauter ist vielmehr auch ein Werbeauftritt, mit dem das Image eines bekannten Produkts auf die eigenen Leistungen übertragen wird.</w:t>
      </w:r>
    </w:p>
    <w:p>
      <w:r>
        <w:rPr>
          <w:b/>
        </w:rPr>
        <w:t>E. 6.3</w:t>
      </w:r>
    </w:p>
    <w:p>
      <w:r>
        <w:t>Die Beklagte lehnt ihre im Vergleich zu den Produkten der Klägerin qualitativ minderwertigen Uhren, die sie selbst als Massenartikel bezeichnet und zur Beschenkung von Kunden an Unternehmen verkauft, an die Luxusgüter der Klägerin an, indem sie die optisch sehr ähnlichen Bezeichnungen "WMC" und "WMC-Schaffhausen" verwendet. Sie handelt unlauter, weil sie mit diesem Werbeauftritt im Ergebnis den guten Ruf der unter dem Zeichen "IWC" bekannten Uhren der Klägerin auf ihre eigenen Waren überträgt, indem sie Gedankenassoziationen zu den von der Klägerin vertriebenen Luxus- und Prestige-Uhren weckt. Die Vorinstanz hat die Verwendung der Kürzel "WMC" und "WMC-Schaffhausen" durch die Beklagte zu Unrecht als lauter erachtet. Daran ändert nichts, dass die Klägerin ihr Unterlassungsbegehren nach Ansicht der Vorinstanz inkonsequent bzw. zu weit formuliert hat, indem sie beantragte, der Beklagten im Geschäftsverkehr zur Bezeichnung ihres Geschäftsbetriebs die Verwendung der Zeichen "WMC" und "WMC-Schaffhausen" generell zu verbieten. Begehren auf Unterlassung, die sich bei der materiellen Beurteilung als an sich begründet, aber als zu umfassend formuliert erweisen, sind vielmehr im Urteil auf das zulässige Mass einzuschränken ( BGE 131 III 70 E. 3.6 S. 76; 107 II 82 E. 2b S. 87; vgl. auch Urteil 4C.169/2004 vom 8. September 2004 E. 13, publ. in sic! 3/2005, S. 221). Da der Werbeauftritt der Beklagten den guten Ruf der Klägerin nur insoweit auf eigene Produkte transferiert, als die Beklagte Uhren oder Dienstleistungen im Zusammenhang mit Uhren anbietet, wie auch die Klägerin anerkennt, erscheint die Einschränkung des Unterlassungsgebotes gerechtfertigt, welche die Klägerin in ihrem Rechtsbegehren vorgenommen hat. Die Beschwerde der Klägerin ist begründet.</w:t>
      </w:r>
    </w:p>
    <w:p>
      <w:r>
        <w:rPr>
          <w:b/>
        </w:rPr>
        <w:t>E. 7</w:t>
      </w:r>
    </w:p>
    <w:p>
      <w:r>
        <w:t>Die Beschwerde der Beklagten ist abzuweisen. Die Beschwerde der Klägerin ist gutzuheissen und der Beklagten ist zusätzlich zu verbieten, im geschäftlichen Verkehr zur Bezeichnung ihres Geschäftsbetriebs im Zusammenhang mit dem Vertrieb von Uhren und mit Uhren zusammenhängenden Dienstleistungen die Buchstabenkombination "WMC" und "WMC-Schaffhausen" zu verwenden und/oder Uhren und Dienstleistungen im Zusammenhang mit Uhren mit der Buchstabenkombination "WMC" zu versehen, versehen zu lassen, zu bewerben, bewerben zu lassen, in den Verkehr zu bringen und/oder bringen zu lassen. Entsprechend dem Ausgang des Verfahrens sind die Gerichtskosten beider Beschwerden der Beklagten zu auferlegen ( Art. 66 Abs. 1 BGG ). Diese hat der Klägerin überdies die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