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4A_466/2011 vom 30. Januar 2012</w:t>
      </w:r>
    </w:p>
    <w:p>
      <w:r>
        <w:t>Bundesgericht, 2012-01-30, IT</w:t>
      </w:r>
    </w:p>
    <w:p>
      <w:r>
        <w:rPr>
          <w:b/>
        </w:rPr>
        <w:t xml:space="preserve">Quelle: </w:t>
      </w:r>
      <w:r>
        <w:t>https://mcp.opencaselaw.ch/entscheid/bger_4A_466_2011</w:t>
      </w:r>
    </w:p>
    <w:p>
      <w:r>
        <w:t>FR: TF 4A_466/2011 du 30 janvier 2012</w:t>
      </w:r>
    </w:p>
    <w:p>
      <w:r>
        <w:t>IT: TF 4A_466/2011 del 30 gennaio 2012</w:t>
      </w:r>
    </w:p>
    <w:p>
      <w:pPr>
        <w:pStyle w:val="Heading2"/>
      </w:pPr>
      <w:r>
        <w:t>Erwägungen</w:t>
      </w:r>
    </w:p>
    <w:p>
      <w:r>
        <w:rPr>
          <w:b/>
        </w:rPr>
        <w:t>E. 1</w:t>
      </w:r>
    </w:p>
    <w:p>
      <w:r>
        <w:t>L' art. 407 cpv. 3 CPC prevede che il diritto in vigore al momento della comunicazione del lodo regge i mezzi di impugnazione. In concreto il lodo impugnato è stato emanato il 9 giugno 2011 ed è pertanto stato comunicato alle parti dopo l'entrata in vigore, intervenuta il 1° gennaio 2011, del CPC. Trattandosi di un arbitrato nazionale le condizioni alle quali il lodo può essere attaccato innanzi al Tribunale federale sono stabilite dagli art. 389 a 395 CPC ( art. 77 cpv. 1 lett. b LTF ).</w:t>
      </w:r>
    </w:p>
    <w:p>
      <w:r>
        <w:rPr>
          <w:b/>
        </w:rPr>
        <w:t>E. 2</w:t>
      </w:r>
    </w:p>
    <w:p>
      <w:r>
        <w:t>Il lodo emanato nella giurisdizione arbitrale nazionale può essere impugnato mediante ricorso al Tribunale federale ( art. 389 cpv. 1 CPC ). La procedura è retta dalla LTF, fatte salve le disposizioni contrarie del primo capitolo del settimo titolo della terza parte del CPC ( art. 389 cpv. 2 CPC ). Secondo l' art. 77 cpv. 1 LTF , le decisioni arbitrali, sia della giurisdizione arbitrale internazionale alle condizioni di cui agli art. 190-192 LDIP (lett. a) sia nella giurisdizione arbitrale nazionale alle condizioni di cui agli art. 389-395 CPC (lett. b), vanno impugnate al Tribunale federale con un ricorso in materia civile. In entrambi i casi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dell'art. 107 cpv. 2 per quanto quest'ultimo permette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 ma il ricorrente può far valere che il lodo è arbitrario nel suo esito perché si fonda su una manifesta violazione del diritto o dell'equità (art. 393 lett. e CPC).</w:t>
      </w:r>
    </w:p>
    <w:p>
      <w:r>
        <w:t>L' art. 77 cpv. 3 LTF impone al Tribunale federale di esaminare unicamente le censure che sono state sollevate e motivate nel ricorso. Per la motivazione delle censure rimangono applicabili (sentenza 4A_454/2011 del 27 ottobre 2011 consid. 2.1) i severi requisiti sviluppati dalla giurisprudenza in applicazione dell'abrogato art. 90 cpv. 1 lett. b OG (cfr. DTF 128 III 50 consid. 1c).</w:t>
      </w:r>
    </w:p>
    <w:p>
      <w:r>
        <w:rPr>
          <w:b/>
        </w:rPr>
        <w:t>E. 3</w:t>
      </w:r>
    </w:p>
    <w:p>
      <w:r>
        <w:t>Giova innanzi tutto ribadire che l' art. 329d cpv. 1 CO , in virtù del quale il datore di lavoro deve pagare al lavoratore il salario completo per la durata delle vacanze e della cui applicazione si è occupata la DTF 132 III 172 , è giusta l' art. 362 CO una norma inderogabile a svantaggio del lavoratore. Nel consid. 3.1 della predetta decisione, il Tribunale federale ha stabilito che nel salario determinante nel senso dell' art. 329d cpv. 1 CO devono essere computati i supplementi versati per il lavoro di notte, nei giorni festivi e del fine settimana, se questi hanno un carattere duraturo e regolare. In altre parole, come rilevato dalle ricorrenti, il computo di tali indennità non è stato generalizzato, ma circoscritto al caso in cui esse hanno un carattere duraturo e regolare. Nella fattispecie invece, dal dispositivo del lodo impugnato non risulta alcuna limitazione all'inclusione di tali supplementi nel salario da versare durante le vacanze e le altre assenze.</w:t>
      </w:r>
    </w:p>
    <w:p>
      <w:r>
        <w:rPr>
          <w:b/>
        </w:rPr>
        <w:t>E. 4.1</w:t>
      </w:r>
    </w:p>
    <w:p>
      <w:r>
        <w:t>Nella propria decisione il Tribunale arbitrale ha indicato di avere, come la Commissione paritetica prima di lui, la competenza di abrogare in tutto o in parte norme del ROCA in conflitto con il diritto federale, rispettivamente "pronunciarsi nell'ipotesi di due o più norme ROCA in contrasto tra loro".</w:t>
      </w:r>
    </w:p>
    <w:p>
      <w:r>
        <w:rPr>
          <w:b/>
        </w:rPr>
        <w:t>E. 4.2</w:t>
      </w:r>
    </w:p>
    <w:p>
      <w:r>
        <w:t>Le ricorrenti, prevalendosi del motivo di ricorso dell'art. 393 lett. e CPC, affermano che con il lodo impugnato, in cui sono state in sostanza confermate - fatta eccezione delle date - le decisioni prese dalla Commissione paritetica, è stato praticamente abrogato l'art. 30 cpv. 4 ROCA. Esse sostengono che, riconoscendo alla Commissione paritetica la competenza di modificare una disposizione del ROCA, la Commissione speciale ha emanato una decisione arbitraria basata su una manifesta violazione degli art. 356c e 13 cpv. 1 CO . La fattispecie in esame, asseverano le ricorrenti, non concerne infatti le possibilità di modifica previste dal ROCA all'art. 76 cpv. 2 e cpv. 5, che riguardano sostanzialmente il caso di modifiche attinenti al sistema di finanziamento delle case per anziani con una conseguente grave situazione finanziaria, rispettivamente il verificarsi di eventi in campo economico e sociale che modificano sostanzialmente le condizioni acquisite.</w:t>
      </w:r>
    </w:p>
    <w:p>
      <w:r>
        <w:rPr>
          <w:b/>
        </w:rPr>
        <w:t>E. 4.3</w:t>
      </w:r>
    </w:p>
    <w:p>
      <w:r>
        <w:t>Giusta l' art. 356c cpv. 1 CO la conclusione, la modificazione, lo scioglimento del contratto per accordo delle parti, l'adesione di una nuova parte e la disdetta richiedono per la loro validità la forma scritta. Da questa norma discende che la competenza a cambiare un CCL spetta - esclusivamente - alle parti contraenti. Un'eventuale modifica del CCL avviene in primo luogo mediante un documento firmato da tutti gli stipulanti (JEAN-FRITZ STÖCKLI, Commento bernese, n. 3 ad art. 356c CO ). L' art. 358 CO prevede poi che il diritto imperativo federale e cantonale prevale sul contratto collettivo. Ciò significa che il disposto di diritto imperativo in contrasto con una disposizione normativa del contratto collettivo è direttamente applicabile (CHRISTIAN BRUCHEZ, in Handbuch zum kollektiven Arbeitsrecht, 2008, pag. 295, n. 7 ad art. 358 CO ; VISCHER/ALBRECHT, Commento zurighese, 4a ed. 2006, n. 29 ad art. 358 CO ; JEAN-FRITZ STÖCKLI, Commento bernese, n. 4 ad art. 358 CO ).</w:t>
      </w:r>
    </w:p>
    <w:p>
      <w:r>
        <w:t>Nella fattispecie è pacifico che la concessione, generalizzata a tutti i dipendenti che ricevono o hanno ricevuto delle indennità notturne e festive, di un importo supplementare al salario previsto dal CCL durante le assenze pagate per vacanze, malattia e infortunio deroga a quanto previsto dal ROCA. È pure incontestato che essa è stata decisa dalla Commissione paritetica e confermata dalla Commissione speciale. Non si è quindi in presenza di una modifica del CCL concordata dagli stipulanti, né di un semplice parere giuridico sull'interpretazione delle norme del contratto collettivo stilato dalla Commissione speciale in applicazione dell'art. 72 cpv. 2 ROCA. Contrariamente a quanto indicato nella risposta al ricorso dall'opponente, l'adozione del menzionato complemento di salario non concerne nemmeno un caso di esecuzione comune del CCL ai sensi dell' art. 357b CO . Visto l' art. 358 CO , non sussiste inoltre neppure la necessità di formalmente abrogare disposizioni normative del CCL in contrasto con il diritto imperativo per il personale, il cui salario determinante ai sensi dell' art. 329a CO include pure i menzionati supplementi a causa del loro carattere regolare e duraturo. Ne segue che con la contestata decisione il tribunale arbitrale, arrogandosi la competenza di modificare il CCL, ha emanato un lodo arbitrario nel suo esito che poggia su una manifesta violazione dell' art. 356c cpv. 1 CO , norma che invece demanda tale competenza alle parti contraenti.</w:t>
      </w:r>
    </w:p>
    <w:p>
      <w:r>
        <w:rPr>
          <w:b/>
        </w:rPr>
        <w:t>E. 5</w:t>
      </w:r>
    </w:p>
    <w:p>
      <w:r>
        <w:t>Da quanto precede discende che il ricorso si rivela fondato e come tale va accolto, con conseguente annullamento del lodo arbitrale impugnato.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